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3C16" w:rsidRPr="00D03C16" w:rsidRDefault="00D03C16" w:rsidP="00D03C16">
      <w:pPr>
        <w:tabs>
          <w:tab w:val="left" w:pos="567"/>
        </w:tabs>
        <w:rPr>
          <w:rFonts w:cs="Arial"/>
          <w:b/>
          <w:sz w:val="28"/>
          <w:szCs w:val="28"/>
        </w:rPr>
      </w:pPr>
      <w:r w:rsidRPr="00D03C16">
        <w:rPr>
          <w:rFonts w:cs="Arial"/>
          <w:b/>
          <w:sz w:val="28"/>
          <w:szCs w:val="28"/>
        </w:rPr>
        <w:t>3GPP TSG-RAN WG</w:t>
      </w:r>
      <w:r w:rsidR="00E6294C">
        <w:rPr>
          <w:rFonts w:cs="Arial"/>
          <w:b/>
          <w:sz w:val="28"/>
          <w:szCs w:val="28"/>
        </w:rPr>
        <w:t>1</w:t>
      </w:r>
      <w:r w:rsidRPr="00D03C16">
        <w:rPr>
          <w:rFonts w:cs="Arial"/>
          <w:b/>
          <w:sz w:val="28"/>
          <w:szCs w:val="28"/>
        </w:rPr>
        <w:t xml:space="preserve"> Meeting #</w:t>
      </w:r>
      <w:r w:rsidR="00E6294C">
        <w:rPr>
          <w:rFonts w:cs="Arial"/>
          <w:b/>
          <w:sz w:val="28"/>
          <w:szCs w:val="28"/>
        </w:rPr>
        <w:t>94</w:t>
      </w:r>
      <w:r w:rsidRPr="00D03C16">
        <w:rPr>
          <w:rFonts w:cs="Arial"/>
          <w:b/>
          <w:sz w:val="28"/>
          <w:szCs w:val="28"/>
        </w:rPr>
        <w:t xml:space="preserve">     </w:t>
      </w:r>
      <w:r w:rsidRPr="00D03C16">
        <w:rPr>
          <w:rFonts w:cs="Arial"/>
          <w:b/>
          <w:sz w:val="28"/>
          <w:szCs w:val="28"/>
        </w:rPr>
        <w:tab/>
      </w:r>
      <w:r w:rsidRPr="00D03C16">
        <w:rPr>
          <w:rFonts w:cs="Arial"/>
          <w:b/>
          <w:sz w:val="28"/>
          <w:szCs w:val="28"/>
        </w:rPr>
        <w:tab/>
      </w:r>
      <w:r>
        <w:rPr>
          <w:rFonts w:cs="Arial"/>
          <w:b/>
          <w:sz w:val="28"/>
          <w:szCs w:val="28"/>
        </w:rPr>
        <w:t xml:space="preserve">                          </w:t>
      </w:r>
      <w:r w:rsidR="00E6294C">
        <w:rPr>
          <w:rFonts w:cs="Arial"/>
          <w:b/>
          <w:sz w:val="28"/>
          <w:szCs w:val="28"/>
        </w:rPr>
        <w:t xml:space="preserve">         </w:t>
      </w:r>
      <w:r w:rsidRPr="00D03C16">
        <w:rPr>
          <w:rFonts w:cs="Arial"/>
          <w:b/>
          <w:sz w:val="28"/>
          <w:szCs w:val="28"/>
        </w:rPr>
        <w:t>R</w:t>
      </w:r>
      <w:r w:rsidR="00E6294C">
        <w:rPr>
          <w:rFonts w:cs="Arial"/>
          <w:b/>
          <w:sz w:val="28"/>
          <w:szCs w:val="28"/>
        </w:rPr>
        <w:t>1</w:t>
      </w:r>
      <w:r w:rsidRPr="00D03C16">
        <w:rPr>
          <w:rFonts w:cs="Arial"/>
          <w:b/>
          <w:sz w:val="28"/>
          <w:szCs w:val="28"/>
        </w:rPr>
        <w:t>-18</w:t>
      </w:r>
      <w:r w:rsidR="00A60155">
        <w:rPr>
          <w:rFonts w:cs="Arial"/>
          <w:b/>
          <w:sz w:val="28"/>
          <w:szCs w:val="28"/>
        </w:rPr>
        <w:t>09075</w:t>
      </w:r>
    </w:p>
    <w:p w:rsidR="0060603E" w:rsidRPr="005D2C51" w:rsidRDefault="00D03C16" w:rsidP="00D03C16">
      <w:pPr>
        <w:tabs>
          <w:tab w:val="left" w:pos="567"/>
        </w:tabs>
        <w:rPr>
          <w:rStyle w:val="apple-style-span"/>
          <w:rFonts w:cs="Arial"/>
          <w:sz w:val="16"/>
          <w:szCs w:val="16"/>
        </w:rPr>
      </w:pPr>
      <w:r w:rsidRPr="00D03C16">
        <w:rPr>
          <w:rFonts w:cs="Arial"/>
          <w:b/>
          <w:sz w:val="28"/>
          <w:szCs w:val="28"/>
        </w:rPr>
        <w:t>Gothenburg, Sweden, 20th - 24th August 2018</w:t>
      </w:r>
    </w:p>
    <w:p w:rsidR="008E0EC7" w:rsidRDefault="008E0EC7" w:rsidP="008E0EC7">
      <w:pPr>
        <w:pStyle w:val="TdocHeader2"/>
        <w:pBdr>
          <w:bottom w:val="single" w:sz="6" w:space="1" w:color="auto"/>
        </w:pBdr>
        <w:spacing w:after="120"/>
        <w:ind w:firstLine="480"/>
        <w:rPr>
          <w:sz w:val="24"/>
        </w:rPr>
      </w:pPr>
    </w:p>
    <w:p w:rsidR="008E0EC7" w:rsidRDefault="008E0EC7" w:rsidP="008E0EC7">
      <w:pPr>
        <w:pStyle w:val="TdocHeader2"/>
        <w:spacing w:after="120"/>
        <w:rPr>
          <w:sz w:val="24"/>
        </w:rPr>
      </w:pPr>
      <w:r>
        <w:rPr>
          <w:sz w:val="24"/>
        </w:rPr>
        <w:t xml:space="preserve">Source: </w:t>
      </w:r>
      <w:r>
        <w:rPr>
          <w:sz w:val="24"/>
        </w:rPr>
        <w:tab/>
      </w:r>
      <w:r w:rsidRPr="00B208AD">
        <w:rPr>
          <w:sz w:val="24"/>
        </w:rPr>
        <w:t>AT&amp;T</w:t>
      </w:r>
    </w:p>
    <w:p w:rsidR="008E0EC7" w:rsidRPr="00B208AD" w:rsidRDefault="008E0EC7" w:rsidP="008E0EC7">
      <w:pPr>
        <w:pStyle w:val="TdocHeader2"/>
        <w:spacing w:after="120"/>
        <w:rPr>
          <w:sz w:val="24"/>
        </w:rPr>
      </w:pPr>
      <w:r w:rsidRPr="00B208AD">
        <w:rPr>
          <w:sz w:val="24"/>
        </w:rPr>
        <w:t>Title:</w:t>
      </w:r>
      <w:bookmarkStart w:id="0" w:name="Title"/>
      <w:bookmarkEnd w:id="0"/>
      <w:r>
        <w:rPr>
          <w:sz w:val="24"/>
        </w:rPr>
        <w:t xml:space="preserve"> </w:t>
      </w:r>
      <w:r>
        <w:rPr>
          <w:sz w:val="24"/>
        </w:rPr>
        <w:tab/>
      </w:r>
      <w:r w:rsidR="00F331BC">
        <w:rPr>
          <w:sz w:val="24"/>
        </w:rPr>
        <w:t>Power Control for Option 4 DC</w:t>
      </w:r>
    </w:p>
    <w:p w:rsidR="008E0EC7" w:rsidRPr="00B208AD" w:rsidRDefault="008E0EC7" w:rsidP="008E0EC7">
      <w:pPr>
        <w:pStyle w:val="TdocHeader2"/>
        <w:spacing w:after="120"/>
        <w:rPr>
          <w:sz w:val="24"/>
        </w:rPr>
      </w:pPr>
      <w:r w:rsidRPr="00B208AD">
        <w:rPr>
          <w:sz w:val="24"/>
        </w:rPr>
        <w:t>Agenda Item:</w:t>
      </w:r>
      <w:r>
        <w:rPr>
          <w:bCs/>
          <w:iCs/>
          <w:sz w:val="24"/>
        </w:rPr>
        <w:t xml:space="preserve"> </w:t>
      </w:r>
      <w:r>
        <w:rPr>
          <w:bCs/>
          <w:iCs/>
          <w:sz w:val="24"/>
        </w:rPr>
        <w:tab/>
      </w:r>
      <w:r w:rsidR="00E6294C">
        <w:rPr>
          <w:bCs/>
          <w:iCs/>
          <w:sz w:val="24"/>
        </w:rPr>
        <w:t>7.</w:t>
      </w:r>
      <w:r w:rsidR="002875F1">
        <w:rPr>
          <w:bCs/>
          <w:iCs/>
          <w:sz w:val="24"/>
        </w:rPr>
        <w:t>1.4</w:t>
      </w:r>
    </w:p>
    <w:p w:rsidR="008E0EC7" w:rsidRPr="00B208AD" w:rsidRDefault="008E0EC7" w:rsidP="008E0EC7">
      <w:pPr>
        <w:pStyle w:val="TdocHeader2"/>
        <w:spacing w:after="120"/>
        <w:rPr>
          <w:sz w:val="24"/>
        </w:rPr>
      </w:pPr>
      <w:r w:rsidRPr="00B208AD">
        <w:rPr>
          <w:sz w:val="24"/>
        </w:rPr>
        <w:t>Document for: Discussion</w:t>
      </w:r>
      <w:r>
        <w:rPr>
          <w:sz w:val="24"/>
        </w:rPr>
        <w:t xml:space="preserve"> and Decision</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651F1A" w:rsidRPr="00651F1A" w:rsidRDefault="00651F1A" w:rsidP="00651F1A">
      <w:pPr>
        <w:spacing w:after="60"/>
        <w:rPr>
          <w:rFonts w:ascii="Calibri" w:hAnsi="Calibri" w:cs="Calibri"/>
        </w:rPr>
      </w:pPr>
    </w:p>
    <w:p w:rsidR="00651F1A" w:rsidRPr="00651F1A" w:rsidRDefault="002875F1" w:rsidP="00651F1A">
      <w:pPr>
        <w:spacing w:after="60"/>
        <w:rPr>
          <w:rFonts w:ascii="Calibri" w:hAnsi="Calibri" w:cs="Calibri"/>
        </w:rPr>
      </w:pPr>
      <w:r>
        <w:rPr>
          <w:rFonts w:ascii="Calibri" w:hAnsi="Calibri" w:cs="Calibri"/>
        </w:rPr>
        <w:t>In RAN1 NR WG1 Adhoc in Jan 2018</w:t>
      </w:r>
      <w:r w:rsidR="00651F1A" w:rsidRPr="00651F1A">
        <w:rPr>
          <w:rFonts w:ascii="Calibri" w:hAnsi="Calibri" w:cs="Calibri"/>
        </w:rPr>
        <w:t>, dynamic power sharing mechanism between NR and LTE dual connectivity was discussed</w:t>
      </w:r>
      <w:r w:rsidR="00A60155">
        <w:rPr>
          <w:rFonts w:ascii="Calibri" w:hAnsi="Calibri" w:cs="Calibri"/>
        </w:rPr>
        <w:t>:</w:t>
      </w:r>
      <w:r w:rsidR="00651F1A" w:rsidRPr="00651F1A">
        <w:rPr>
          <w:rFonts w:ascii="Calibri" w:hAnsi="Calibri" w:cs="Calibri"/>
        </w:rPr>
        <w:t xml:space="preserve"> </w:t>
      </w:r>
    </w:p>
    <w:p w:rsidR="00A60155" w:rsidRDefault="00A60155" w:rsidP="00651F1A">
      <w:pPr>
        <w:rPr>
          <w:rFonts w:ascii="Calibri" w:hAnsi="Calibri" w:cs="Calibri"/>
          <w:highlight w:val="green"/>
        </w:rPr>
      </w:pPr>
    </w:p>
    <w:p w:rsidR="00651F1A" w:rsidRPr="00651F1A" w:rsidRDefault="00651F1A" w:rsidP="00651F1A">
      <w:pPr>
        <w:rPr>
          <w:rFonts w:ascii="Calibri" w:hAnsi="Calibri" w:cs="Calibri"/>
        </w:rPr>
      </w:pPr>
      <w:r w:rsidRPr="00651F1A">
        <w:rPr>
          <w:rFonts w:ascii="Calibri" w:hAnsi="Calibri" w:cs="Calibri"/>
          <w:highlight w:val="green"/>
        </w:rPr>
        <w:t>Agreement:</w:t>
      </w:r>
      <w:bookmarkStart w:id="1" w:name="_GoBack"/>
      <w:bookmarkEnd w:id="1"/>
    </w:p>
    <w:p w:rsidR="00651F1A" w:rsidRPr="00651F1A" w:rsidRDefault="00651F1A" w:rsidP="00617434">
      <w:pPr>
        <w:pStyle w:val="BodyText"/>
        <w:numPr>
          <w:ilvl w:val="0"/>
          <w:numId w:val="5"/>
        </w:numPr>
        <w:overflowPunct/>
        <w:autoSpaceDE/>
        <w:autoSpaceDN/>
        <w:adjustRightInd/>
        <w:jc w:val="both"/>
        <w:textAlignment w:val="auto"/>
        <w:rPr>
          <w:rFonts w:ascii="Calibri" w:hAnsi="Calibri" w:cs="Calibri"/>
        </w:rPr>
      </w:pPr>
      <w:r w:rsidRPr="00651F1A">
        <w:rPr>
          <w:rFonts w:ascii="Calibri" w:hAnsi="Calibri" w:cs="Calibri"/>
        </w:rPr>
        <w:t>P_LTE and P_NR are configured separately via UE specific RRC (i.e., as dBm numbers with similar value range as p-Max in LTE)</w:t>
      </w:r>
    </w:p>
    <w:p w:rsidR="00651F1A" w:rsidRPr="00651F1A" w:rsidRDefault="00651F1A" w:rsidP="00617434">
      <w:pPr>
        <w:pStyle w:val="BodyText"/>
        <w:numPr>
          <w:ilvl w:val="1"/>
          <w:numId w:val="5"/>
        </w:numPr>
        <w:overflowPunct/>
        <w:autoSpaceDE/>
        <w:autoSpaceDN/>
        <w:adjustRightInd/>
        <w:jc w:val="both"/>
        <w:textAlignment w:val="auto"/>
        <w:rPr>
          <w:rFonts w:ascii="Calibri" w:hAnsi="Calibri" w:cs="Calibri"/>
        </w:rPr>
      </w:pPr>
      <w:r w:rsidRPr="00651F1A">
        <w:rPr>
          <w:rFonts w:ascii="Calibri" w:hAnsi="Calibri" w:cs="Calibri"/>
        </w:rPr>
        <w:t>P_LTE and P_NR are UE-specific</w:t>
      </w:r>
    </w:p>
    <w:p w:rsidR="00651F1A" w:rsidRPr="00651F1A" w:rsidRDefault="00651F1A" w:rsidP="00617434">
      <w:pPr>
        <w:pStyle w:val="BodyText"/>
        <w:numPr>
          <w:ilvl w:val="0"/>
          <w:numId w:val="5"/>
        </w:numPr>
        <w:overflowPunct/>
        <w:autoSpaceDE/>
        <w:autoSpaceDN/>
        <w:adjustRightInd/>
        <w:jc w:val="both"/>
        <w:textAlignment w:val="auto"/>
        <w:rPr>
          <w:rFonts w:ascii="Calibri" w:hAnsi="Calibri" w:cs="Calibri"/>
        </w:rPr>
      </w:pPr>
      <w:r w:rsidRPr="00651F1A">
        <w:rPr>
          <w:rFonts w:ascii="Calibri" w:hAnsi="Calibri" w:cs="Calibri"/>
        </w:rPr>
        <w:t>P_cmax for LTE and P_cmax for NR are derived based on P_LTE and/or P_NR (details to be decided by RAN4)</w:t>
      </w:r>
    </w:p>
    <w:p w:rsidR="00651F1A" w:rsidRPr="00651F1A" w:rsidRDefault="00651F1A" w:rsidP="00617434">
      <w:pPr>
        <w:pStyle w:val="BodyText"/>
        <w:numPr>
          <w:ilvl w:val="0"/>
          <w:numId w:val="5"/>
        </w:numPr>
        <w:overflowPunct/>
        <w:autoSpaceDE/>
        <w:autoSpaceDN/>
        <w:adjustRightInd/>
        <w:jc w:val="both"/>
        <w:textAlignment w:val="auto"/>
        <w:rPr>
          <w:rFonts w:ascii="Calibri" w:hAnsi="Calibri" w:cs="Calibri"/>
        </w:rPr>
      </w:pPr>
      <w:r w:rsidRPr="00651F1A">
        <w:rPr>
          <w:rFonts w:ascii="Calibri" w:hAnsi="Calibri" w:cs="Calibri"/>
        </w:rPr>
        <w:t>RAN4 to define maximum total LTE and NR power in FR1 (X_total) that the UE should never exceed.</w:t>
      </w:r>
    </w:p>
    <w:p w:rsidR="00651F1A" w:rsidRPr="00651F1A" w:rsidRDefault="00651F1A" w:rsidP="00617434">
      <w:pPr>
        <w:pStyle w:val="BodyText"/>
        <w:numPr>
          <w:ilvl w:val="0"/>
          <w:numId w:val="5"/>
        </w:numPr>
        <w:overflowPunct/>
        <w:autoSpaceDE/>
        <w:autoSpaceDN/>
        <w:adjustRightInd/>
        <w:jc w:val="both"/>
        <w:textAlignment w:val="auto"/>
        <w:rPr>
          <w:rFonts w:ascii="Calibri" w:hAnsi="Calibri" w:cs="Calibri"/>
        </w:rPr>
      </w:pPr>
      <w:r w:rsidRPr="00651F1A">
        <w:rPr>
          <w:rFonts w:ascii="Calibri" w:hAnsi="Calibri" w:cs="Calibri"/>
        </w:rPr>
        <w:t xml:space="preserve">When dynamic power sharing is used, </w:t>
      </w:r>
    </w:p>
    <w:p w:rsidR="00651F1A" w:rsidRPr="00651F1A" w:rsidRDefault="00651F1A" w:rsidP="00617434">
      <w:pPr>
        <w:pStyle w:val="BodyText"/>
        <w:numPr>
          <w:ilvl w:val="1"/>
          <w:numId w:val="5"/>
        </w:numPr>
        <w:overflowPunct/>
        <w:autoSpaceDE/>
        <w:autoSpaceDN/>
        <w:adjustRightInd/>
        <w:jc w:val="both"/>
        <w:textAlignment w:val="auto"/>
        <w:rPr>
          <w:rFonts w:ascii="Calibri" w:hAnsi="Calibri" w:cs="Calibri"/>
        </w:rPr>
      </w:pPr>
      <w:r w:rsidRPr="00651F1A">
        <w:rPr>
          <w:rFonts w:ascii="Calibri" w:hAnsi="Calibri" w:cs="Calibri"/>
        </w:rPr>
        <w:t>If total power for LTE and NR in FR1 exceeds X_total, UE reduces NR transmission power or drops NR transmission so that total power does not exceed X_total</w:t>
      </w:r>
    </w:p>
    <w:p w:rsidR="00651F1A" w:rsidRPr="00651F1A" w:rsidRDefault="00651F1A" w:rsidP="00617434">
      <w:pPr>
        <w:pStyle w:val="BodyText"/>
        <w:numPr>
          <w:ilvl w:val="2"/>
          <w:numId w:val="5"/>
        </w:numPr>
        <w:overflowPunct/>
        <w:autoSpaceDE/>
        <w:autoSpaceDN/>
        <w:adjustRightInd/>
        <w:jc w:val="both"/>
        <w:textAlignment w:val="auto"/>
        <w:rPr>
          <w:rFonts w:ascii="Calibri" w:hAnsi="Calibri" w:cs="Calibri"/>
        </w:rPr>
      </w:pPr>
      <w:r w:rsidRPr="00651F1A">
        <w:rPr>
          <w:rFonts w:ascii="Calibri" w:hAnsi="Calibri" w:cs="Calibri"/>
        </w:rPr>
        <w:t>Note: As per previous agreement LTE power control procedure is not changed</w:t>
      </w:r>
    </w:p>
    <w:p w:rsidR="00651F1A" w:rsidRPr="00651F1A" w:rsidRDefault="00651F1A" w:rsidP="00651F1A">
      <w:pPr>
        <w:spacing w:after="60"/>
        <w:rPr>
          <w:rFonts w:ascii="Calibri" w:hAnsi="Calibri" w:cs="Calibri"/>
        </w:rPr>
      </w:pPr>
    </w:p>
    <w:p w:rsidR="00651F1A" w:rsidRPr="00617434" w:rsidRDefault="00651F1A" w:rsidP="008B1BFE">
      <w:pPr>
        <w:spacing w:after="60" w:line="288" w:lineRule="auto"/>
        <w:rPr>
          <w:rFonts w:ascii="Calibri" w:hAnsi="Calibri" w:cs="Calibri"/>
        </w:rPr>
      </w:pPr>
    </w:p>
    <w:p w:rsidR="00181E4F" w:rsidRPr="00617434" w:rsidRDefault="00181E4F" w:rsidP="008B1BFE">
      <w:pPr>
        <w:spacing w:after="60" w:line="288" w:lineRule="auto"/>
        <w:rPr>
          <w:rFonts w:ascii="Calibri" w:hAnsi="Calibri" w:cs="Calibri"/>
        </w:rPr>
      </w:pPr>
      <w:r w:rsidRPr="00617434">
        <w:rPr>
          <w:rFonts w:ascii="Calibri" w:hAnsi="Calibri" w:cs="Calibri"/>
        </w:rPr>
        <w:t>In this docu</w:t>
      </w:r>
      <w:r w:rsidR="00191205" w:rsidRPr="00617434">
        <w:rPr>
          <w:rFonts w:ascii="Calibri" w:hAnsi="Calibri" w:cs="Calibri"/>
        </w:rPr>
        <w:t>ment, we discuss UL power control f</w:t>
      </w:r>
      <w:r w:rsidR="00F5061A" w:rsidRPr="00617434">
        <w:rPr>
          <w:rFonts w:ascii="Calibri" w:hAnsi="Calibri" w:cs="Calibri"/>
        </w:rPr>
        <w:t>or NR and LTE dual connectivity (</w:t>
      </w:r>
      <w:r w:rsidR="00191205" w:rsidRPr="00617434">
        <w:rPr>
          <w:rFonts w:ascii="Calibri" w:hAnsi="Calibri" w:cs="Calibri"/>
        </w:rPr>
        <w:t>architecture option 4</w:t>
      </w:r>
      <w:r w:rsidR="00F5061A" w:rsidRPr="00617434">
        <w:rPr>
          <w:rFonts w:ascii="Calibri" w:hAnsi="Calibri" w:cs="Calibri"/>
        </w:rPr>
        <w:t>)</w:t>
      </w:r>
      <w:r w:rsidR="00191205" w:rsidRPr="00617434">
        <w:rPr>
          <w:rFonts w:ascii="Calibri" w:hAnsi="Calibri" w:cs="Calibri"/>
        </w:rPr>
        <w:t xml:space="preserve">. We present key aspects of the UL power control, as it relates to semi-static and dynamic power sharing. </w:t>
      </w:r>
      <w:r w:rsidR="00A60155">
        <w:rPr>
          <w:rFonts w:ascii="Calibri" w:hAnsi="Calibri" w:cs="Calibri"/>
        </w:rPr>
        <w:t xml:space="preserve">We further discuss remaining details of power control for both EN-DC and NE-DC to account for multiple NR numerologies. </w:t>
      </w:r>
    </w:p>
    <w:p w:rsidR="00F917E3" w:rsidRPr="00617434" w:rsidRDefault="00F917E3" w:rsidP="00F917E3">
      <w:pPr>
        <w:rPr>
          <w:rFonts w:ascii="Calibri" w:eastAsia="MS Mincho" w:hAnsi="Calibri" w:cs="Calibri"/>
          <w:highlight w:val="green"/>
          <w:lang w:eastAsia="ja-JP"/>
        </w:rPr>
      </w:pPr>
    </w:p>
    <w:p w:rsidR="00423F7C" w:rsidRDefault="00C56ADF" w:rsidP="00423F7C">
      <w:pPr>
        <w:pStyle w:val="Heading1"/>
      </w:pPr>
      <w:r>
        <w:t xml:space="preserve">Power Sharing </w:t>
      </w:r>
      <w:r w:rsidR="004E1FB6">
        <w:t>for</w:t>
      </w:r>
      <w:r>
        <w:t xml:space="preserve"> NE-DC</w:t>
      </w:r>
    </w:p>
    <w:p w:rsidR="00DA5583" w:rsidRPr="00617434" w:rsidRDefault="00DA5583" w:rsidP="008B1BFE">
      <w:pPr>
        <w:spacing w:line="288" w:lineRule="auto"/>
        <w:rPr>
          <w:rFonts w:ascii="Calibri Light" w:hAnsi="Calibri Light" w:cs="Calibri Light"/>
        </w:rPr>
      </w:pPr>
      <w:r w:rsidRPr="00617434">
        <w:rPr>
          <w:rFonts w:ascii="Calibri Light" w:hAnsi="Calibri Light" w:cs="Calibri Light"/>
        </w:rPr>
        <w:t xml:space="preserve">The power sharing mechanism for NR and LTE DC defines the UE power allocation strategy for NR and LTE UL transmission. </w:t>
      </w:r>
    </w:p>
    <w:p w:rsidR="00DA5583" w:rsidRPr="00617434" w:rsidRDefault="00DA5583" w:rsidP="008B1BFE">
      <w:pPr>
        <w:spacing w:line="288" w:lineRule="auto"/>
        <w:rPr>
          <w:rFonts w:ascii="Calibri Light" w:hAnsi="Calibri Light" w:cs="Calibri Light"/>
        </w:rPr>
      </w:pPr>
      <w:r w:rsidRPr="00617434">
        <w:rPr>
          <w:rFonts w:ascii="Calibri Light" w:hAnsi="Calibri Light" w:cs="Calibri Light"/>
        </w:rPr>
        <w:t>For NE-DC, unlike EN-DC, the UE is configured with a MCG using NR radio access and with an SCG using LTE radio access.</w:t>
      </w:r>
    </w:p>
    <w:p w:rsidR="00DA5583" w:rsidRPr="00617434" w:rsidRDefault="00DA5583" w:rsidP="008B1BFE">
      <w:pPr>
        <w:spacing w:line="288" w:lineRule="auto"/>
        <w:rPr>
          <w:rFonts w:ascii="Calibri Light" w:hAnsi="Calibri Light" w:cs="Calibri Light"/>
        </w:rPr>
      </w:pPr>
      <w:r w:rsidRPr="00617434">
        <w:rPr>
          <w:rFonts w:ascii="Calibri Light" w:hAnsi="Calibri Light" w:cs="Calibri Light"/>
        </w:rPr>
        <w:t>When the power on NR and the power on LTE are semi-statically defined fractions of the maximum power configured at the UE, and cannot exceed the configured maximum power at the UE</w:t>
      </w:r>
      <w:r w:rsidR="002500B6">
        <w:rPr>
          <w:rFonts w:ascii="Calibri Light" w:hAnsi="Calibri Light" w:cs="Calibri Light"/>
        </w:rPr>
        <w:t xml:space="preserve">, </w:t>
      </w:r>
      <w:r w:rsidRPr="00617434">
        <w:rPr>
          <w:rFonts w:ascii="Calibri Light" w:hAnsi="Calibri Light" w:cs="Calibri Light"/>
        </w:rPr>
        <w:t>the UL power sharing for NE-DC can follow that of EN-DC, and no further changes to the spec are needed.</w:t>
      </w:r>
    </w:p>
    <w:p w:rsidR="00DA5583" w:rsidRPr="00617434" w:rsidRDefault="00DA5583" w:rsidP="008B1BFE">
      <w:pPr>
        <w:spacing w:line="288" w:lineRule="auto"/>
        <w:rPr>
          <w:rFonts w:ascii="Calibri Light" w:hAnsi="Calibri Light" w:cs="Calibri Light"/>
          <w:b/>
        </w:rPr>
      </w:pPr>
      <w:r w:rsidRPr="00617434">
        <w:rPr>
          <w:rFonts w:ascii="Calibri Light" w:hAnsi="Calibri Light" w:cs="Calibri Light"/>
          <w:b/>
        </w:rPr>
        <w:t>Proposal</w:t>
      </w:r>
      <w:r w:rsidR="002500B6">
        <w:rPr>
          <w:rFonts w:ascii="Calibri Light" w:hAnsi="Calibri Light" w:cs="Calibri Light"/>
          <w:b/>
        </w:rPr>
        <w:t xml:space="preserve"> 1</w:t>
      </w:r>
      <w:r w:rsidRPr="00617434">
        <w:rPr>
          <w:rFonts w:ascii="Calibri Light" w:hAnsi="Calibri Light" w:cs="Calibri Light"/>
          <w:b/>
        </w:rPr>
        <w:t>: No changes in the spec are needed for semi-static power sharing in NE-DC.</w:t>
      </w:r>
    </w:p>
    <w:p w:rsidR="00DA5583" w:rsidRPr="00617434" w:rsidRDefault="00DA5583" w:rsidP="008B1BFE">
      <w:pPr>
        <w:spacing w:line="288" w:lineRule="auto"/>
        <w:rPr>
          <w:rFonts w:ascii="Calibri Light" w:hAnsi="Calibri Light" w:cs="Calibri Light"/>
        </w:rPr>
      </w:pPr>
    </w:p>
    <w:p w:rsidR="008B1BFE" w:rsidRPr="00617434" w:rsidRDefault="00A60155" w:rsidP="008B1BFE">
      <w:pPr>
        <w:spacing w:line="288" w:lineRule="auto"/>
        <w:rPr>
          <w:rFonts w:ascii="Calibri Light" w:hAnsi="Calibri Light" w:cs="Calibri Light"/>
        </w:rPr>
      </w:pPr>
      <w:r>
        <w:rPr>
          <w:rFonts w:ascii="Calibri Light" w:hAnsi="Calibri Light" w:cs="Calibri Light"/>
        </w:rPr>
        <w:lastRenderedPageBreak/>
        <w:t xml:space="preserve">When the UE is capable of dynamic power sharing, </w:t>
      </w:r>
      <w:r w:rsidR="0041386A" w:rsidRPr="00617434">
        <w:rPr>
          <w:rFonts w:ascii="Calibri Light" w:hAnsi="Calibri Light" w:cs="Calibri Light"/>
        </w:rPr>
        <w:t xml:space="preserve">the UE can operate with </w:t>
      </w:r>
      <w:r w:rsidR="00DA5583" w:rsidRPr="00617434">
        <w:rPr>
          <w:rFonts w:ascii="Calibri Light" w:hAnsi="Calibri Light" w:cs="Calibri Light"/>
        </w:rPr>
        <w:t>power on LTE (</w:t>
      </w:r>
      <w:r w:rsidR="0041386A" w:rsidRPr="00617434">
        <w:rPr>
          <w:rFonts w:ascii="Calibri Light" w:hAnsi="Calibri Light" w:cs="Calibri Light"/>
        </w:rPr>
        <w:t>P_LTE</w:t>
      </w:r>
      <w:r w:rsidR="00DA5583" w:rsidRPr="00617434">
        <w:rPr>
          <w:rFonts w:ascii="Calibri Light" w:hAnsi="Calibri Light" w:cs="Calibri Light"/>
        </w:rPr>
        <w:t>) and power on NR (</w:t>
      </w:r>
      <w:r w:rsidR="0041386A" w:rsidRPr="00617434">
        <w:rPr>
          <w:rFonts w:ascii="Calibri Light" w:hAnsi="Calibri Light" w:cs="Calibri Light"/>
        </w:rPr>
        <w:t>P_NR</w:t>
      </w:r>
      <w:r w:rsidR="00DA5583" w:rsidRPr="00617434">
        <w:rPr>
          <w:rFonts w:ascii="Calibri Light" w:hAnsi="Calibri Light" w:cs="Calibri Light"/>
        </w:rPr>
        <w:t>) that can exceed the configured power</w:t>
      </w:r>
      <w:r>
        <w:rPr>
          <w:rFonts w:ascii="Calibri Light" w:hAnsi="Calibri Light" w:cs="Calibri Light"/>
        </w:rPr>
        <w:t xml:space="preserve"> </w:t>
      </w:r>
      <w:r w:rsidR="00DA5583" w:rsidRPr="00617434">
        <w:rPr>
          <w:rFonts w:ascii="Calibri Light" w:hAnsi="Calibri Light" w:cs="Calibri Light"/>
        </w:rPr>
        <w:t xml:space="preserve">class </w:t>
      </w:r>
      <w:r>
        <w:rPr>
          <w:rFonts w:ascii="Calibri Light" w:hAnsi="Calibri Light" w:cs="Calibri Light"/>
        </w:rPr>
        <w:t xml:space="preserve">power. </w:t>
      </w:r>
      <w:r w:rsidR="008B1BFE" w:rsidRPr="00617434">
        <w:rPr>
          <w:rFonts w:ascii="Calibri Light" w:hAnsi="Calibri Light" w:cs="Calibri Light"/>
        </w:rPr>
        <w:t xml:space="preserve">The </w:t>
      </w:r>
      <w:r w:rsidR="00DA5583" w:rsidRPr="00617434">
        <w:rPr>
          <w:rFonts w:ascii="Calibri Light" w:hAnsi="Calibri Light" w:cs="Calibri Light"/>
        </w:rPr>
        <w:t xml:space="preserve">power sharing procedure needs to </w:t>
      </w:r>
      <w:r w:rsidR="008B1BFE" w:rsidRPr="00617434">
        <w:rPr>
          <w:rFonts w:ascii="Calibri Light" w:hAnsi="Calibri Light" w:cs="Calibri Light"/>
        </w:rPr>
        <w:t xml:space="preserve">ensure that the total power does not exceed the maximum configured power. </w:t>
      </w:r>
    </w:p>
    <w:p w:rsidR="008B1BFE" w:rsidRPr="00617434" w:rsidRDefault="00467ACD" w:rsidP="008B1BFE">
      <w:pPr>
        <w:spacing w:line="288" w:lineRule="auto"/>
        <w:rPr>
          <w:rFonts w:ascii="Calibri Light" w:hAnsi="Calibri Light" w:cs="Calibri Light"/>
        </w:rPr>
      </w:pPr>
      <w:r>
        <w:rPr>
          <w:rFonts w:ascii="Calibri Light" w:hAnsi="Calibri Light" w:cs="Calibri Light"/>
        </w:rPr>
        <w:t>In EN-DC, i</w:t>
      </w:r>
      <w:r w:rsidR="008B1BFE" w:rsidRPr="00617434">
        <w:rPr>
          <w:rFonts w:ascii="Calibri Light" w:hAnsi="Calibri Light" w:cs="Calibri Light"/>
        </w:rPr>
        <w:t xml:space="preserve">f the total </w:t>
      </w:r>
      <w:r w:rsidR="008C79DC">
        <w:rPr>
          <w:rFonts w:ascii="Calibri Light" w:hAnsi="Calibri Light" w:cs="Calibri Light"/>
        </w:rPr>
        <w:t xml:space="preserve">instantaneous transmit </w:t>
      </w:r>
      <w:r w:rsidR="008B1BFE" w:rsidRPr="00617434">
        <w:rPr>
          <w:rFonts w:ascii="Calibri Light" w:hAnsi="Calibri Light" w:cs="Calibri Light"/>
        </w:rPr>
        <w:t>power for LTE and NR exceeds the maximum power, the UE reduces the NR transmission power or drops the NR transmission so that the total power does not exceed the maximum configure power. No changes to the LTE power control procedure is required.</w:t>
      </w:r>
    </w:p>
    <w:p w:rsidR="008B1BFE" w:rsidRPr="00617434" w:rsidRDefault="008B1BFE" w:rsidP="008B1BFE">
      <w:pPr>
        <w:spacing w:line="288" w:lineRule="auto"/>
        <w:rPr>
          <w:rFonts w:ascii="Calibri Light" w:hAnsi="Calibri Light" w:cs="Calibri Light"/>
        </w:rPr>
      </w:pPr>
      <w:r w:rsidRPr="00617434">
        <w:rPr>
          <w:rFonts w:ascii="Calibri Light" w:hAnsi="Calibri Light" w:cs="Calibri Light"/>
        </w:rPr>
        <w:t>For N</w:t>
      </w:r>
      <w:r w:rsidR="008C79DC">
        <w:rPr>
          <w:rFonts w:ascii="Calibri Light" w:hAnsi="Calibri Light" w:cs="Calibri Light"/>
        </w:rPr>
        <w:t>E</w:t>
      </w:r>
      <w:r w:rsidRPr="00617434">
        <w:rPr>
          <w:rFonts w:ascii="Calibri Light" w:hAnsi="Calibri Light" w:cs="Calibri Light"/>
        </w:rPr>
        <w:t xml:space="preserve">-DC, however, the MCG is on the NR radio access, and </w:t>
      </w:r>
      <w:r w:rsidR="00DA5583" w:rsidRPr="00617434">
        <w:rPr>
          <w:rFonts w:ascii="Calibri Light" w:hAnsi="Calibri Light" w:cs="Calibri Light"/>
        </w:rPr>
        <w:t>SCG is on the LTE radio access. T</w:t>
      </w:r>
      <w:r w:rsidRPr="00617434">
        <w:rPr>
          <w:rFonts w:ascii="Calibri Light" w:hAnsi="Calibri Light" w:cs="Calibri Light"/>
        </w:rPr>
        <w:t xml:space="preserve">o ensure that the total power for NR and LTE does not exceed the maximum power, the UE can mirror the EN-DC procedure, albeit the NR and LTE are reversed. In fact, the UE reduces the LTE transmission power or drops the LTE transmission so that the total power does not exceed the maximum configured power. This results in no changes in the NR power control procedure. The following text in </w:t>
      </w:r>
      <w:r w:rsidR="004578D6" w:rsidRPr="00617434">
        <w:rPr>
          <w:rFonts w:ascii="Calibri Light" w:hAnsi="Calibri Light" w:cs="Calibri Light"/>
        </w:rPr>
        <w:t>[</w:t>
      </w:r>
      <w:r w:rsidRPr="00617434">
        <w:rPr>
          <w:rFonts w:ascii="Calibri Light" w:hAnsi="Calibri Light" w:cs="Calibri Light"/>
        </w:rPr>
        <w:t>38.213</w:t>
      </w:r>
      <w:r w:rsidR="004578D6" w:rsidRPr="00617434">
        <w:rPr>
          <w:rFonts w:ascii="Calibri Light" w:hAnsi="Calibri Light" w:cs="Calibri Light"/>
        </w:rPr>
        <w:t xml:space="preserve"> clause 7.5] </w:t>
      </w:r>
      <w:r w:rsidR="002500B6">
        <w:rPr>
          <w:rFonts w:ascii="Calibri Light" w:hAnsi="Calibri Light" w:cs="Calibri Light"/>
        </w:rPr>
        <w:t>applies to both EN-DC and NE-DC:</w:t>
      </w:r>
    </w:p>
    <w:p w:rsidR="004578D6" w:rsidRPr="00617434" w:rsidRDefault="004578D6" w:rsidP="004578D6">
      <w:pPr>
        <w:rPr>
          <w:rFonts w:ascii="Calibri Light" w:hAnsi="Calibri Light" w:cs="Calibri Light"/>
          <w:i/>
        </w:rPr>
      </w:pPr>
      <w:r w:rsidRPr="00617434">
        <w:rPr>
          <w:rFonts w:ascii="Calibri Light" w:hAnsi="Calibri Light" w:cs="Calibri Light"/>
          <w:i/>
        </w:rPr>
        <w:t>“In case of same priority order and for operation with carrier aggregation, the UE prioritizes power allocation for transmissions on the primary cell of the MCG or the SCG over transmissions on a secondary cell and prioritizes power allocation for transmissions on the PCell over transmissions on the PSCell. In case of same priority order and for operation with two uplink carriers, the UE prioritizes power allocation for transmissions on the carrier where the UE is configured to transmit PUCCH.”</w:t>
      </w:r>
    </w:p>
    <w:p w:rsidR="00467ACD" w:rsidRDefault="00467ACD" w:rsidP="002500B6">
      <w:pPr>
        <w:rPr>
          <w:rFonts w:ascii="Calibri Light" w:hAnsi="Calibri Light" w:cs="Calibri Light"/>
          <w:b/>
        </w:rPr>
      </w:pPr>
    </w:p>
    <w:p w:rsidR="00467ACD" w:rsidRPr="00467ACD" w:rsidRDefault="00467ACD" w:rsidP="002500B6">
      <w:pPr>
        <w:rPr>
          <w:rFonts w:ascii="Calibri Light" w:hAnsi="Calibri Light" w:cs="Calibri Light"/>
        </w:rPr>
      </w:pPr>
      <w:r w:rsidRPr="00BE3C85">
        <w:rPr>
          <w:rFonts w:ascii="Calibri Light" w:hAnsi="Calibri Light" w:cs="Calibri Light"/>
        </w:rPr>
        <w:t>For NE-DC, a similar text should be added in t</w:t>
      </w:r>
      <w:r>
        <w:rPr>
          <w:rFonts w:ascii="Calibri Light" w:hAnsi="Calibri Light" w:cs="Calibri Light"/>
        </w:rPr>
        <w:t xml:space="preserve">he LTE specifications 36.213 to indicate prioritization of power allocations on the primary cell over transmission on a secondary cell, since the SCG is on the LTE radio access. </w:t>
      </w:r>
    </w:p>
    <w:p w:rsidR="00467ACD" w:rsidRDefault="00467ACD" w:rsidP="002500B6">
      <w:pPr>
        <w:rPr>
          <w:rFonts w:ascii="Calibri Light" w:hAnsi="Calibri Light" w:cs="Calibri Light"/>
          <w:b/>
        </w:rPr>
      </w:pPr>
    </w:p>
    <w:p w:rsidR="00D96ED8" w:rsidRPr="00617434" w:rsidRDefault="00D96ED8" w:rsidP="002500B6">
      <w:pPr>
        <w:rPr>
          <w:rFonts w:ascii="Calibri Light" w:hAnsi="Calibri Light" w:cs="Calibri Light"/>
          <w:b/>
        </w:rPr>
      </w:pPr>
      <w:r w:rsidRPr="00617434">
        <w:rPr>
          <w:rFonts w:ascii="Calibri Light" w:hAnsi="Calibri Light" w:cs="Calibri Light"/>
          <w:b/>
        </w:rPr>
        <w:t>Proposal 2: When dynamic power sharing is used in NE-DC,</w:t>
      </w:r>
    </w:p>
    <w:p w:rsidR="00D96ED8" w:rsidRPr="00617434" w:rsidRDefault="00D96ED8" w:rsidP="00617434">
      <w:pPr>
        <w:numPr>
          <w:ilvl w:val="1"/>
          <w:numId w:val="6"/>
        </w:numPr>
        <w:rPr>
          <w:rFonts w:ascii="Calibri Light" w:hAnsi="Calibri Light" w:cs="Calibri Light"/>
          <w:b/>
        </w:rPr>
      </w:pPr>
      <w:r w:rsidRPr="00617434">
        <w:rPr>
          <w:rFonts w:ascii="Calibri Light" w:hAnsi="Calibri Light" w:cs="Calibri Light"/>
          <w:b/>
        </w:rPr>
        <w:t xml:space="preserve"> if total power for NR and LTE in a frequency range, exceeds a given configured max. power, UE reduces LTE transmission power or drops LTE transmission so that total power does not exceed the configured max. power. </w:t>
      </w:r>
    </w:p>
    <w:p w:rsidR="008B1BFE" w:rsidRPr="00617434" w:rsidRDefault="00D96ED8" w:rsidP="00617434">
      <w:pPr>
        <w:numPr>
          <w:ilvl w:val="1"/>
          <w:numId w:val="6"/>
        </w:numPr>
        <w:rPr>
          <w:rFonts w:ascii="Calibri Light" w:hAnsi="Calibri Light" w:cs="Calibri Light"/>
          <w:b/>
        </w:rPr>
      </w:pPr>
      <w:r w:rsidRPr="00617434">
        <w:rPr>
          <w:rFonts w:ascii="Calibri Light" w:hAnsi="Calibri Light" w:cs="Calibri Light"/>
          <w:b/>
        </w:rPr>
        <w:t xml:space="preserve">LTE </w:t>
      </w:r>
      <w:r w:rsidR="008C79DC">
        <w:rPr>
          <w:rFonts w:ascii="Calibri Light" w:hAnsi="Calibri Light" w:cs="Calibri Light"/>
          <w:b/>
        </w:rPr>
        <w:t xml:space="preserve">power control </w:t>
      </w:r>
      <w:r w:rsidRPr="00617434">
        <w:rPr>
          <w:rFonts w:ascii="Calibri Light" w:hAnsi="Calibri Light" w:cs="Calibri Light"/>
          <w:b/>
        </w:rPr>
        <w:t xml:space="preserve">procedure is modified to include power scaling of the configured max. power on LTE.  </w:t>
      </w:r>
    </w:p>
    <w:p w:rsidR="00B449B6" w:rsidRPr="00617434" w:rsidRDefault="00B449B6" w:rsidP="00C56ADF">
      <w:pPr>
        <w:rPr>
          <w:rFonts w:ascii="Calibri Light" w:hAnsi="Calibri Light" w:cs="Calibri Light"/>
        </w:rPr>
      </w:pPr>
    </w:p>
    <w:p w:rsidR="00B449B6" w:rsidRDefault="00D96ED8" w:rsidP="00D96ED8">
      <w:pPr>
        <w:pStyle w:val="Heading1"/>
      </w:pPr>
      <w:r>
        <w:t>DC Power Sharing with Different Numerologies</w:t>
      </w:r>
    </w:p>
    <w:p w:rsidR="00651F1A" w:rsidRPr="00617434" w:rsidRDefault="00651F1A" w:rsidP="00C56ADF">
      <w:pPr>
        <w:rPr>
          <w:rFonts w:ascii="Calibri Light" w:hAnsi="Calibri Light" w:cs="Calibri Light"/>
        </w:rPr>
      </w:pPr>
    </w:p>
    <w:p w:rsidR="00651F1A" w:rsidRDefault="00651F1A" w:rsidP="00651F1A">
      <w:pPr>
        <w:rPr>
          <w:rFonts w:ascii="Calibri Light" w:hAnsi="Calibri Light" w:cs="Calibri Light"/>
        </w:rPr>
      </w:pPr>
      <w:r>
        <w:rPr>
          <w:rFonts w:ascii="Calibri Light" w:hAnsi="Calibri Light" w:cs="Calibri Light"/>
        </w:rPr>
        <w:t xml:space="preserve">NR supports different numerologies as compared to LTE. How the UE performs power back off for LTE and NR DC depends on whether the MCG and SCG are synchronized or not. This situation arises for both EN-DC where the MCG is on the LTE radio access, and NE-DC, where the MCG is on the NR radio access. </w:t>
      </w:r>
    </w:p>
    <w:p w:rsidR="002500B6" w:rsidRDefault="00651F1A" w:rsidP="00651F1A">
      <w:pPr>
        <w:rPr>
          <w:rFonts w:ascii="Calibri Light" w:hAnsi="Calibri Light" w:cs="Calibri Light"/>
        </w:rPr>
      </w:pPr>
      <w:r>
        <w:rPr>
          <w:rFonts w:ascii="Calibri Light" w:hAnsi="Calibri Light" w:cs="Calibri Light"/>
        </w:rPr>
        <w:t xml:space="preserve">In the case when NR and LTE have different numerologies, </w:t>
      </w:r>
      <w:r w:rsidR="002500B6">
        <w:rPr>
          <w:rFonts w:ascii="Calibri Light" w:hAnsi="Calibri Light" w:cs="Calibri Light"/>
        </w:rPr>
        <w:t xml:space="preserve">one LTE slot transmission can overlap with multiple NR slots. For the UE to perform power backoff, an amount of look ahead functionality is needed for multiple slots where the UE needs to look ahead and infer whether or not a power backoff is needed for the SCG or the MCG, over multiple slots (not just one slot). </w:t>
      </w:r>
    </w:p>
    <w:p w:rsidR="002500B6" w:rsidRDefault="002500B6" w:rsidP="00651F1A">
      <w:pPr>
        <w:rPr>
          <w:rFonts w:ascii="Calibri Light" w:hAnsi="Calibri Light" w:cs="Calibri Light"/>
          <w:b/>
        </w:rPr>
      </w:pPr>
      <w:r>
        <w:rPr>
          <w:rFonts w:ascii="Calibri Light" w:hAnsi="Calibri Light" w:cs="Calibri Light"/>
          <w:b/>
        </w:rPr>
        <w:t xml:space="preserve">Observation </w:t>
      </w:r>
      <w:r w:rsidR="00EA4E70">
        <w:rPr>
          <w:rFonts w:ascii="Calibri Light" w:hAnsi="Calibri Light" w:cs="Calibri Light"/>
          <w:b/>
        </w:rPr>
        <w:t>1</w:t>
      </w:r>
      <w:r>
        <w:rPr>
          <w:rFonts w:ascii="Calibri Light" w:hAnsi="Calibri Light" w:cs="Calibri Light"/>
          <w:b/>
        </w:rPr>
        <w:t>: Due to different numerologies in NR, an LTE slot can overlap with multiple NR slots</w:t>
      </w:r>
    </w:p>
    <w:p w:rsidR="002500B6" w:rsidRPr="002500B6" w:rsidRDefault="002500B6" w:rsidP="00651F1A">
      <w:pPr>
        <w:rPr>
          <w:rFonts w:ascii="Calibri Light" w:hAnsi="Calibri Light" w:cs="Calibri Light"/>
          <w:b/>
        </w:rPr>
      </w:pPr>
      <w:r w:rsidRPr="002500B6">
        <w:rPr>
          <w:rFonts w:ascii="Calibri Light" w:hAnsi="Calibri Light" w:cs="Calibri Light"/>
          <w:b/>
        </w:rPr>
        <w:t xml:space="preserve">Proposal 3: </w:t>
      </w:r>
      <w:r w:rsidR="008C79DC">
        <w:rPr>
          <w:rFonts w:ascii="Calibri Light" w:hAnsi="Calibri Light" w:cs="Calibri Light"/>
          <w:b/>
        </w:rPr>
        <w:t>When the numerology of NR is different from that of LTE p</w:t>
      </w:r>
      <w:r>
        <w:rPr>
          <w:rFonts w:ascii="Calibri Light" w:hAnsi="Calibri Light" w:cs="Calibri Light"/>
          <w:b/>
        </w:rPr>
        <w:t>ower backoff decisions need to be made with a look ahead functionality across multiple slots</w:t>
      </w:r>
      <w:r w:rsidR="008C79DC">
        <w:rPr>
          <w:rFonts w:ascii="Calibri Light" w:hAnsi="Calibri Light" w:cs="Calibri Light"/>
          <w:b/>
        </w:rPr>
        <w:t xml:space="preserve"> even for synchronous DC</w:t>
      </w:r>
      <w:r>
        <w:rPr>
          <w:rFonts w:ascii="Calibri Light" w:hAnsi="Calibri Light" w:cs="Calibri Light"/>
          <w:b/>
        </w:rPr>
        <w:t>.</w:t>
      </w:r>
    </w:p>
    <w:p w:rsidR="002500B6" w:rsidRDefault="002500B6" w:rsidP="00651F1A">
      <w:pPr>
        <w:rPr>
          <w:rFonts w:ascii="Calibri Light" w:hAnsi="Calibri Light" w:cs="Calibri Light"/>
        </w:rPr>
      </w:pPr>
    </w:p>
    <w:p w:rsidR="002500B6" w:rsidRDefault="002500B6" w:rsidP="00651F1A">
      <w:pPr>
        <w:rPr>
          <w:rFonts w:ascii="Calibri Light" w:hAnsi="Calibri Light" w:cs="Calibri Light"/>
        </w:rPr>
      </w:pPr>
      <w:r>
        <w:rPr>
          <w:rFonts w:ascii="Calibri Light" w:hAnsi="Calibri Light" w:cs="Calibri Light"/>
        </w:rPr>
        <w:t>For EN-DC, the current specification in [38.213, clause 7.6.1] accounts for only one slot look ahead</w:t>
      </w:r>
      <w:r w:rsidR="00EA4E70">
        <w:rPr>
          <w:rFonts w:ascii="Calibri Light" w:hAnsi="Calibri Light" w:cs="Calibri Light"/>
        </w:rPr>
        <w:t xml:space="preserve"> for power backoff</w:t>
      </w:r>
      <w:r>
        <w:rPr>
          <w:rFonts w:ascii="Calibri Light" w:hAnsi="Calibri Light" w:cs="Calibri Light"/>
        </w:rPr>
        <w:t>. Multiple slot</w:t>
      </w:r>
      <w:r w:rsidR="00700904">
        <w:rPr>
          <w:rFonts w:ascii="Calibri Light" w:hAnsi="Calibri Light" w:cs="Calibri Light"/>
        </w:rPr>
        <w:t xml:space="preserve">s support needs to be included such that </w:t>
      </w:r>
      <w:r w:rsidR="00EA4E70">
        <w:rPr>
          <w:rFonts w:ascii="Calibri Light" w:hAnsi="Calibri Light" w:cs="Calibri Light"/>
        </w:rPr>
        <w:t xml:space="preserve">for a given example, </w:t>
      </w:r>
      <w:r w:rsidR="00700904">
        <w:rPr>
          <w:rFonts w:ascii="Calibri Light" w:hAnsi="Calibri Light" w:cs="Calibri Light"/>
        </w:rPr>
        <w:t xml:space="preserve">if the UE transmission in subframe </w:t>
      </w:r>
      <m:oMath>
        <m:sSub>
          <m:sSubPr>
            <m:ctrlPr>
              <w:rPr>
                <w:rFonts w:ascii="Cambria Math" w:hAnsi="Cambria Math" w:cs="Calibri Light"/>
                <w:i/>
              </w:rPr>
            </m:ctrlPr>
          </m:sSubPr>
          <m:e>
            <m:r>
              <w:rPr>
                <w:rFonts w:ascii="Cambria Math" w:hAnsi="Cambria Math" w:cs="Calibri Light"/>
              </w:rPr>
              <m:t>i</m:t>
            </m:r>
          </m:e>
          <m:sub>
            <m:r>
              <w:rPr>
                <w:rFonts w:ascii="Cambria Math" w:hAnsi="Cambria Math" w:cs="Calibri Light"/>
              </w:rPr>
              <m:t>1</m:t>
            </m:r>
          </m:sub>
        </m:sSub>
      </m:oMath>
      <w:r w:rsidR="00700904">
        <w:rPr>
          <w:rFonts w:ascii="Calibri Light" w:hAnsi="Calibri Light" w:cs="Calibri Light"/>
        </w:rPr>
        <w:t xml:space="preserve"> of the MCG overlaps in time with UE transmissions in slots </w:t>
      </w:r>
      <m:oMath>
        <m:sSub>
          <m:sSubPr>
            <m:ctrlPr>
              <w:rPr>
                <w:rFonts w:ascii="Cambria Math" w:hAnsi="Cambria Math" w:cs="Calibri Light"/>
                <w:i/>
              </w:rPr>
            </m:ctrlPr>
          </m:sSubPr>
          <m:e>
            <m:r>
              <w:rPr>
                <w:rFonts w:ascii="Cambria Math" w:hAnsi="Cambria Math" w:cs="Calibri Light"/>
              </w:rPr>
              <m:t>i</m:t>
            </m:r>
          </m:e>
          <m:sub>
            <m:r>
              <w:rPr>
                <w:rFonts w:ascii="Cambria Math" w:hAnsi="Cambria Math" w:cs="Calibri Light"/>
              </w:rPr>
              <m:t>s1</m:t>
            </m:r>
          </m:sub>
        </m:sSub>
      </m:oMath>
      <w:r w:rsidR="00700904">
        <w:rPr>
          <w:rFonts w:ascii="Calibri Light" w:hAnsi="Calibri Light" w:cs="Calibri Light"/>
        </w:rPr>
        <w:t xml:space="preserve"> and </w:t>
      </w:r>
      <m:oMath>
        <m:sSub>
          <m:sSubPr>
            <m:ctrlPr>
              <w:rPr>
                <w:rFonts w:ascii="Cambria Math" w:hAnsi="Cambria Math" w:cs="Calibri Light"/>
                <w:i/>
              </w:rPr>
            </m:ctrlPr>
          </m:sSubPr>
          <m:e>
            <m:r>
              <w:rPr>
                <w:rFonts w:ascii="Cambria Math" w:hAnsi="Cambria Math" w:cs="Calibri Light"/>
              </w:rPr>
              <m:t>i</m:t>
            </m:r>
          </m:e>
          <m:sub>
            <m:r>
              <w:rPr>
                <w:rFonts w:ascii="Cambria Math" w:hAnsi="Cambria Math" w:cs="Calibri Light"/>
              </w:rPr>
              <m:t>s2</m:t>
            </m:r>
          </m:sub>
        </m:sSub>
      </m:oMath>
      <w:r w:rsidR="00700904">
        <w:rPr>
          <w:rFonts w:ascii="Calibri Light" w:hAnsi="Calibri Light" w:cs="Calibri Light"/>
        </w:rPr>
        <w:t xml:space="preserve"> of the SCG,</w:t>
      </w:r>
      <w:r w:rsidR="00EA4E70">
        <w:rPr>
          <w:rFonts w:ascii="Calibri Light" w:hAnsi="Calibri Light" w:cs="Calibri Light"/>
        </w:rPr>
        <w:t xml:space="preserve">  </w:t>
      </w:r>
      <w:r w:rsidR="00700904">
        <w:rPr>
          <w:rFonts w:ascii="Calibri Light" w:hAnsi="Calibri Light" w:cs="Calibri Light"/>
        </w:rPr>
        <w:t xml:space="preserve">then </w:t>
      </w:r>
      <w:r w:rsidR="00EA4E70">
        <w:rPr>
          <w:rFonts w:ascii="Calibri Light" w:hAnsi="Calibri Light" w:cs="Calibri Light"/>
        </w:rPr>
        <w:t xml:space="preserve">both the sum power </w:t>
      </w:r>
      <m:oMath>
        <m:sSub>
          <m:sSubPr>
            <m:ctrlPr>
              <w:rPr>
                <w:rFonts w:ascii="Cambria Math" w:hAnsi="Cambria Math" w:cs="Calibri Light"/>
                <w:i/>
              </w:rPr>
            </m:ctrlPr>
          </m:sSubPr>
          <m:e>
            <m:acc>
              <m:accPr>
                <m:ctrlPr>
                  <w:rPr>
                    <w:rFonts w:ascii="Cambria Math" w:hAnsi="Cambria Math" w:cs="Calibri Light"/>
                    <w:i/>
                  </w:rPr>
                </m:ctrlPr>
              </m:accPr>
              <m:e>
                <m:r>
                  <w:rPr>
                    <w:rFonts w:ascii="Cambria Math" w:hAnsi="Cambria Math" w:cs="Calibri Light"/>
                  </w:rPr>
                  <m:t>P</m:t>
                </m:r>
              </m:e>
            </m:acc>
          </m:e>
          <m:sub>
            <m:r>
              <w:rPr>
                <w:rFonts w:ascii="Cambria Math" w:hAnsi="Cambria Math" w:cs="Calibri Light"/>
              </w:rPr>
              <m:t>MCG</m:t>
            </m:r>
          </m:sub>
        </m:sSub>
        <m:d>
          <m:dPr>
            <m:ctrlPr>
              <w:rPr>
                <w:rFonts w:ascii="Cambria Math" w:hAnsi="Cambria Math" w:cs="Calibri Light"/>
                <w:i/>
              </w:rPr>
            </m:ctrlPr>
          </m:dPr>
          <m:e>
            <m:sSub>
              <m:sSubPr>
                <m:ctrlPr>
                  <w:rPr>
                    <w:rFonts w:ascii="Cambria Math" w:hAnsi="Cambria Math" w:cs="Calibri Light"/>
                    <w:i/>
                  </w:rPr>
                </m:ctrlPr>
              </m:sSubPr>
              <m:e>
                <m:r>
                  <w:rPr>
                    <w:rFonts w:ascii="Cambria Math" w:hAnsi="Cambria Math" w:cs="Calibri Light"/>
                  </w:rPr>
                  <m:t>i</m:t>
                </m:r>
              </m:e>
              <m:sub>
                <m:r>
                  <w:rPr>
                    <w:rFonts w:ascii="Cambria Math" w:hAnsi="Cambria Math" w:cs="Calibri Light"/>
                  </w:rPr>
                  <m:t>1</m:t>
                </m:r>
              </m:sub>
            </m:sSub>
          </m:e>
        </m:d>
        <m:r>
          <w:rPr>
            <w:rFonts w:ascii="Cambria Math" w:hAnsi="Cambria Math" w:cs="Calibri Light"/>
          </w:rPr>
          <m:t xml:space="preserve">+ </m:t>
        </m:r>
        <m:sSub>
          <m:sSubPr>
            <m:ctrlPr>
              <w:rPr>
                <w:rFonts w:ascii="Cambria Math" w:hAnsi="Cambria Math" w:cs="Calibri Light"/>
                <w:i/>
              </w:rPr>
            </m:ctrlPr>
          </m:sSubPr>
          <m:e>
            <m:acc>
              <m:accPr>
                <m:ctrlPr>
                  <w:rPr>
                    <w:rFonts w:ascii="Cambria Math" w:hAnsi="Cambria Math" w:cs="Calibri Light"/>
                    <w:i/>
                  </w:rPr>
                </m:ctrlPr>
              </m:accPr>
              <m:e>
                <m:r>
                  <w:rPr>
                    <w:rFonts w:ascii="Cambria Math" w:hAnsi="Cambria Math" w:cs="Calibri Light"/>
                  </w:rPr>
                  <m:t>P</m:t>
                </m:r>
              </m:e>
            </m:acc>
          </m:e>
          <m:sub>
            <m:r>
              <w:rPr>
                <w:rFonts w:ascii="Cambria Math" w:hAnsi="Cambria Math" w:cs="Calibri Light"/>
              </w:rPr>
              <m:t>SCG</m:t>
            </m:r>
          </m:sub>
        </m:sSub>
        <m:d>
          <m:dPr>
            <m:ctrlPr>
              <w:rPr>
                <w:rFonts w:ascii="Cambria Math" w:hAnsi="Cambria Math" w:cs="Calibri Light"/>
                <w:i/>
              </w:rPr>
            </m:ctrlPr>
          </m:dPr>
          <m:e>
            <m:sSub>
              <m:sSubPr>
                <m:ctrlPr>
                  <w:rPr>
                    <w:rFonts w:ascii="Cambria Math" w:hAnsi="Cambria Math" w:cs="Calibri Light"/>
                    <w:i/>
                  </w:rPr>
                </m:ctrlPr>
              </m:sSubPr>
              <m:e>
                <m:r>
                  <w:rPr>
                    <w:rFonts w:ascii="Cambria Math" w:hAnsi="Cambria Math" w:cs="Calibri Light"/>
                  </w:rPr>
                  <m:t>i</m:t>
                </m:r>
              </m:e>
              <m:sub>
                <m:r>
                  <w:rPr>
                    <w:rFonts w:ascii="Cambria Math" w:hAnsi="Cambria Math" w:cs="Calibri Light"/>
                  </w:rPr>
                  <m:t>s1</m:t>
                </m:r>
              </m:sub>
            </m:sSub>
          </m:e>
        </m:d>
        <m:r>
          <w:rPr>
            <w:rFonts w:ascii="Cambria Math" w:hAnsi="Cambria Math" w:cs="Calibri Light"/>
          </w:rPr>
          <m:t xml:space="preserve"> &gt; </m:t>
        </m:r>
        <m:sSubSup>
          <m:sSubSupPr>
            <m:ctrlPr>
              <w:rPr>
                <w:rFonts w:ascii="Cambria Math" w:hAnsi="Cambria Math" w:cs="Calibri Light"/>
                <w:i/>
              </w:rPr>
            </m:ctrlPr>
          </m:sSubSupPr>
          <m:e>
            <m:acc>
              <m:accPr>
                <m:ctrlPr>
                  <w:rPr>
                    <w:rFonts w:ascii="Cambria Math" w:hAnsi="Cambria Math" w:cs="Calibri Light"/>
                    <w:i/>
                  </w:rPr>
                </m:ctrlPr>
              </m:accPr>
              <m:e>
                <m:r>
                  <w:rPr>
                    <w:rFonts w:ascii="Cambria Math" w:hAnsi="Cambria Math" w:cs="Calibri Light"/>
                  </w:rPr>
                  <m:t>P</m:t>
                </m:r>
              </m:e>
            </m:acc>
          </m:e>
          <m:sub>
            <m:r>
              <w:rPr>
                <w:rFonts w:ascii="Cambria Math" w:hAnsi="Cambria Math" w:cs="Calibri Light"/>
              </w:rPr>
              <m:t>Total</m:t>
            </m:r>
          </m:sub>
          <m:sup>
            <m:r>
              <w:rPr>
                <w:rFonts w:ascii="Cambria Math" w:hAnsi="Cambria Math" w:cs="Calibri Light"/>
              </w:rPr>
              <m:t>EN-DC</m:t>
            </m:r>
          </m:sup>
        </m:sSubSup>
      </m:oMath>
      <w:r w:rsidR="00EA4E70">
        <w:rPr>
          <w:rFonts w:ascii="Calibri Light" w:hAnsi="Calibri Light" w:cs="Calibri Light"/>
        </w:rPr>
        <w:t xml:space="preserve"> </w:t>
      </w:r>
      <w:r w:rsidR="00EA4E70" w:rsidRPr="00EA4E70">
        <w:rPr>
          <w:rFonts w:asciiTheme="majorHAnsi" w:hAnsiTheme="majorHAnsi" w:cstheme="majorHAnsi"/>
        </w:rPr>
        <w:t xml:space="preserve">and </w:t>
      </w:r>
      <m:oMath>
        <m:sSub>
          <m:sSubPr>
            <m:ctrlPr>
              <w:rPr>
                <w:rFonts w:ascii="Cambria Math" w:hAnsi="Cambria Math" w:cs="Calibri Light"/>
                <w:i/>
              </w:rPr>
            </m:ctrlPr>
          </m:sSubPr>
          <m:e>
            <m:acc>
              <m:accPr>
                <m:ctrlPr>
                  <w:rPr>
                    <w:rFonts w:ascii="Cambria Math" w:hAnsi="Cambria Math" w:cs="Calibri Light"/>
                    <w:i/>
                  </w:rPr>
                </m:ctrlPr>
              </m:accPr>
              <m:e>
                <m:r>
                  <w:rPr>
                    <w:rFonts w:ascii="Cambria Math" w:hAnsi="Cambria Math" w:cs="Calibri Light"/>
                  </w:rPr>
                  <m:t>P</m:t>
                </m:r>
              </m:e>
            </m:acc>
          </m:e>
          <m:sub>
            <m:r>
              <w:rPr>
                <w:rFonts w:ascii="Cambria Math" w:hAnsi="Cambria Math" w:cs="Calibri Light"/>
              </w:rPr>
              <m:t>MCG</m:t>
            </m:r>
          </m:sub>
        </m:sSub>
        <m:d>
          <m:dPr>
            <m:ctrlPr>
              <w:rPr>
                <w:rFonts w:ascii="Cambria Math" w:hAnsi="Cambria Math" w:cs="Calibri Light"/>
                <w:i/>
              </w:rPr>
            </m:ctrlPr>
          </m:dPr>
          <m:e>
            <m:sSub>
              <m:sSubPr>
                <m:ctrlPr>
                  <w:rPr>
                    <w:rFonts w:ascii="Cambria Math" w:hAnsi="Cambria Math" w:cs="Calibri Light"/>
                    <w:i/>
                  </w:rPr>
                </m:ctrlPr>
              </m:sSubPr>
              <m:e>
                <m:r>
                  <w:rPr>
                    <w:rFonts w:ascii="Cambria Math" w:hAnsi="Cambria Math" w:cs="Calibri Light"/>
                  </w:rPr>
                  <m:t>i</m:t>
                </m:r>
              </m:e>
              <m:sub>
                <m:r>
                  <w:rPr>
                    <w:rFonts w:ascii="Cambria Math" w:hAnsi="Cambria Math" w:cs="Calibri Light"/>
                  </w:rPr>
                  <m:t>1</m:t>
                </m:r>
              </m:sub>
            </m:sSub>
          </m:e>
        </m:d>
        <m:r>
          <w:rPr>
            <w:rFonts w:ascii="Cambria Math" w:hAnsi="Cambria Math" w:cs="Calibri Light"/>
          </w:rPr>
          <m:t xml:space="preserve">+ </m:t>
        </m:r>
        <m:sSub>
          <m:sSubPr>
            <m:ctrlPr>
              <w:rPr>
                <w:rFonts w:ascii="Cambria Math" w:hAnsi="Cambria Math" w:cs="Calibri Light"/>
                <w:i/>
              </w:rPr>
            </m:ctrlPr>
          </m:sSubPr>
          <m:e>
            <m:acc>
              <m:accPr>
                <m:ctrlPr>
                  <w:rPr>
                    <w:rFonts w:ascii="Cambria Math" w:hAnsi="Cambria Math" w:cs="Calibri Light"/>
                    <w:i/>
                  </w:rPr>
                </m:ctrlPr>
              </m:accPr>
              <m:e>
                <m:r>
                  <w:rPr>
                    <w:rFonts w:ascii="Cambria Math" w:hAnsi="Cambria Math" w:cs="Calibri Light"/>
                  </w:rPr>
                  <m:t>P</m:t>
                </m:r>
              </m:e>
            </m:acc>
          </m:e>
          <m:sub>
            <m:r>
              <w:rPr>
                <w:rFonts w:ascii="Cambria Math" w:hAnsi="Cambria Math" w:cs="Calibri Light"/>
              </w:rPr>
              <m:t>SCG</m:t>
            </m:r>
          </m:sub>
        </m:sSub>
        <m:d>
          <m:dPr>
            <m:ctrlPr>
              <w:rPr>
                <w:rFonts w:ascii="Cambria Math" w:hAnsi="Cambria Math" w:cs="Calibri Light"/>
                <w:i/>
              </w:rPr>
            </m:ctrlPr>
          </m:dPr>
          <m:e>
            <m:sSub>
              <m:sSubPr>
                <m:ctrlPr>
                  <w:rPr>
                    <w:rFonts w:ascii="Cambria Math" w:hAnsi="Cambria Math" w:cs="Calibri Light"/>
                    <w:i/>
                  </w:rPr>
                </m:ctrlPr>
              </m:sSubPr>
              <m:e>
                <m:r>
                  <w:rPr>
                    <w:rFonts w:ascii="Cambria Math" w:hAnsi="Cambria Math" w:cs="Calibri Light"/>
                  </w:rPr>
                  <m:t>i</m:t>
                </m:r>
              </m:e>
              <m:sub>
                <m:r>
                  <w:rPr>
                    <w:rFonts w:ascii="Cambria Math" w:hAnsi="Cambria Math" w:cs="Calibri Light"/>
                  </w:rPr>
                  <m:t>s2</m:t>
                </m:r>
              </m:sub>
            </m:sSub>
          </m:e>
        </m:d>
        <m:r>
          <w:rPr>
            <w:rFonts w:ascii="Cambria Math" w:hAnsi="Cambria Math" w:cs="Calibri Light"/>
          </w:rPr>
          <m:t xml:space="preserve"> &gt; </m:t>
        </m:r>
        <m:sSubSup>
          <m:sSubSupPr>
            <m:ctrlPr>
              <w:rPr>
                <w:rFonts w:ascii="Cambria Math" w:hAnsi="Cambria Math" w:cs="Calibri Light"/>
                <w:i/>
              </w:rPr>
            </m:ctrlPr>
          </m:sSubSupPr>
          <m:e>
            <m:acc>
              <m:accPr>
                <m:ctrlPr>
                  <w:rPr>
                    <w:rFonts w:ascii="Cambria Math" w:hAnsi="Cambria Math" w:cs="Calibri Light"/>
                    <w:i/>
                  </w:rPr>
                </m:ctrlPr>
              </m:accPr>
              <m:e>
                <m:r>
                  <w:rPr>
                    <w:rFonts w:ascii="Cambria Math" w:hAnsi="Cambria Math" w:cs="Calibri Light"/>
                  </w:rPr>
                  <m:t>P</m:t>
                </m:r>
              </m:e>
            </m:acc>
          </m:e>
          <m:sub>
            <m:r>
              <w:rPr>
                <w:rFonts w:ascii="Cambria Math" w:hAnsi="Cambria Math" w:cs="Calibri Light"/>
              </w:rPr>
              <m:t>Total</m:t>
            </m:r>
          </m:sub>
          <m:sup>
            <m:r>
              <w:rPr>
                <w:rFonts w:ascii="Cambria Math" w:hAnsi="Cambria Math" w:cs="Calibri Light"/>
              </w:rPr>
              <m:t>EN-DC</m:t>
            </m:r>
          </m:sup>
        </m:sSubSup>
      </m:oMath>
      <w:r w:rsidR="00EA4E70">
        <w:rPr>
          <w:rFonts w:ascii="Times New Roman" w:hAnsi="Times New Roman"/>
        </w:rPr>
        <w:t xml:space="preserve"> </w:t>
      </w:r>
      <w:r w:rsidR="00EA4E70">
        <w:rPr>
          <w:rFonts w:asciiTheme="majorHAnsi" w:hAnsiTheme="majorHAnsi" w:cstheme="majorHAnsi"/>
        </w:rPr>
        <w:t xml:space="preserve">need to be checked such that if the minimum of the two sum powers in any portion of a given slot </w:t>
      </w:r>
      <w:r w:rsidR="00EA4E70">
        <w:rPr>
          <w:rFonts w:ascii="Calibri Light" w:hAnsi="Calibri Light" w:cs="Calibri Light"/>
        </w:rPr>
        <w:t xml:space="preserve">exceeds the configured maximum transmission power for EN-DC operation, the UE reduces the transmission power in any portion of slots </w:t>
      </w:r>
      <m:oMath>
        <m:sSub>
          <m:sSubPr>
            <m:ctrlPr>
              <w:rPr>
                <w:rFonts w:ascii="Cambria Math" w:hAnsi="Cambria Math" w:cs="Calibri Light"/>
                <w:i/>
              </w:rPr>
            </m:ctrlPr>
          </m:sSubPr>
          <m:e>
            <m:r>
              <w:rPr>
                <w:rFonts w:ascii="Cambria Math" w:hAnsi="Cambria Math" w:cs="Calibri Light"/>
              </w:rPr>
              <m:t>i</m:t>
            </m:r>
          </m:e>
          <m:sub>
            <m:r>
              <w:rPr>
                <w:rFonts w:ascii="Cambria Math" w:hAnsi="Cambria Math" w:cs="Calibri Light"/>
              </w:rPr>
              <m:t>s1</m:t>
            </m:r>
          </m:sub>
        </m:sSub>
      </m:oMath>
      <w:r w:rsidR="00EA4E70">
        <w:rPr>
          <w:rFonts w:ascii="Calibri Light" w:hAnsi="Calibri Light" w:cs="Calibri Light"/>
        </w:rPr>
        <w:t xml:space="preserve"> and </w:t>
      </w:r>
      <m:oMath>
        <m:sSub>
          <m:sSubPr>
            <m:ctrlPr>
              <w:rPr>
                <w:rFonts w:ascii="Cambria Math" w:hAnsi="Cambria Math" w:cs="Calibri Light"/>
                <w:i/>
              </w:rPr>
            </m:ctrlPr>
          </m:sSubPr>
          <m:e>
            <m:r>
              <w:rPr>
                <w:rFonts w:ascii="Cambria Math" w:hAnsi="Cambria Math" w:cs="Calibri Light"/>
              </w:rPr>
              <m:t>i</m:t>
            </m:r>
          </m:e>
          <m:sub>
            <m:r>
              <w:rPr>
                <w:rFonts w:ascii="Cambria Math" w:hAnsi="Cambria Math" w:cs="Calibri Light"/>
              </w:rPr>
              <m:t>s2</m:t>
            </m:r>
          </m:sub>
        </m:sSub>
        <m:r>
          <w:rPr>
            <w:rFonts w:ascii="Cambria Math" w:hAnsi="Cambria Math" w:cs="Calibri Light"/>
          </w:rPr>
          <m:t xml:space="preserve"> </m:t>
        </m:r>
      </m:oMath>
      <w:r w:rsidR="00EA4E70">
        <w:rPr>
          <w:rFonts w:ascii="Calibri Light" w:hAnsi="Calibri Light" w:cs="Calibri Light"/>
        </w:rPr>
        <w:t>so that the sum power in any portion of any given slot no longer exceeds the configured maximum transmission power.</w:t>
      </w:r>
    </w:p>
    <w:p w:rsidR="00EA4E70" w:rsidRDefault="00EA4E70" w:rsidP="00651F1A">
      <w:pPr>
        <w:rPr>
          <w:rFonts w:ascii="Calibri Light" w:hAnsi="Calibri Light" w:cs="Calibri Light"/>
        </w:rPr>
      </w:pPr>
    </w:p>
    <w:p w:rsidR="002500B6" w:rsidRPr="00EA4E70" w:rsidRDefault="00EA4E70" w:rsidP="00651F1A">
      <w:pPr>
        <w:rPr>
          <w:rFonts w:ascii="Calibri Light" w:hAnsi="Calibri Light" w:cs="Calibri Light"/>
          <w:b/>
        </w:rPr>
      </w:pPr>
      <w:r w:rsidRPr="00EA4E70">
        <w:rPr>
          <w:rFonts w:ascii="Calibri Light" w:hAnsi="Calibri Light" w:cs="Calibri Light"/>
          <w:b/>
        </w:rPr>
        <w:t>Proposal 4: Change the text in [38.213, clause 7.6.1] to account for multiple slots look ahead for power backoff in EN-DC</w:t>
      </w:r>
    </w:p>
    <w:p w:rsidR="00D23AD9" w:rsidRDefault="00D23AD9" w:rsidP="00C56ADF"/>
    <w:p w:rsidR="00423F7C" w:rsidRPr="00233D70" w:rsidRDefault="00423F7C" w:rsidP="008A25A1">
      <w:pPr>
        <w:pStyle w:val="maintext"/>
        <w:ind w:firstLine="400"/>
        <w:rPr>
          <w:rFonts w:ascii="Calibri" w:hAnsi="Calibri"/>
        </w:rPr>
      </w:pPr>
    </w:p>
    <w:p w:rsidR="006B5489" w:rsidRPr="006546B2" w:rsidRDefault="006B5489" w:rsidP="006546B2"/>
    <w:p w:rsidR="007338D6" w:rsidRPr="00172743" w:rsidRDefault="003A566A" w:rsidP="00326FF6">
      <w:pPr>
        <w:pStyle w:val="Heading1"/>
      </w:pPr>
      <w:r w:rsidRPr="00172743">
        <w:t>Conclusion</w:t>
      </w:r>
    </w:p>
    <w:p w:rsidR="00843F1C" w:rsidRDefault="00EA4E70" w:rsidP="00172743">
      <w:pPr>
        <w:spacing w:before="0" w:after="0"/>
        <w:rPr>
          <w:rFonts w:ascii="Calibri" w:hAnsi="Calibri"/>
        </w:rPr>
      </w:pPr>
      <w:r>
        <w:rPr>
          <w:rFonts w:ascii="Calibri" w:hAnsi="Calibri"/>
        </w:rPr>
        <w:t>In this contribution, we discuss UL power sharing for NR and LTE dual connectivity. The following observations and proposals were made:</w:t>
      </w:r>
    </w:p>
    <w:p w:rsidR="00F35911" w:rsidRDefault="00F35911" w:rsidP="00172743">
      <w:pPr>
        <w:spacing w:before="0" w:after="0"/>
        <w:rPr>
          <w:rFonts w:ascii="Calibri" w:hAnsi="Calibri"/>
        </w:rPr>
      </w:pPr>
    </w:p>
    <w:p w:rsidR="00EA4E70" w:rsidRDefault="00EA4E70" w:rsidP="00EA4E70">
      <w:pPr>
        <w:rPr>
          <w:rFonts w:ascii="Calibri Light" w:hAnsi="Calibri Light" w:cs="Calibri Light"/>
          <w:b/>
        </w:rPr>
      </w:pPr>
      <w:r>
        <w:rPr>
          <w:rFonts w:ascii="Calibri Light" w:hAnsi="Calibri Light" w:cs="Calibri Light"/>
          <w:b/>
        </w:rPr>
        <w:t>Observation 1: Due to different numerologies in NR, an LTE slot can overlap with multiple NR slots</w:t>
      </w:r>
    </w:p>
    <w:p w:rsidR="00B3029F" w:rsidRPr="00617434" w:rsidRDefault="00B3029F" w:rsidP="00B3029F">
      <w:pPr>
        <w:spacing w:line="288" w:lineRule="auto"/>
        <w:rPr>
          <w:rFonts w:ascii="Calibri Light" w:hAnsi="Calibri Light" w:cs="Calibri Light"/>
          <w:b/>
        </w:rPr>
      </w:pPr>
      <w:r w:rsidRPr="00617434">
        <w:rPr>
          <w:rFonts w:ascii="Calibri Light" w:hAnsi="Calibri Light" w:cs="Calibri Light"/>
          <w:b/>
        </w:rPr>
        <w:t>Proposal</w:t>
      </w:r>
      <w:r>
        <w:rPr>
          <w:rFonts w:ascii="Calibri Light" w:hAnsi="Calibri Light" w:cs="Calibri Light"/>
          <w:b/>
        </w:rPr>
        <w:t xml:space="preserve"> 1</w:t>
      </w:r>
      <w:r w:rsidRPr="00617434">
        <w:rPr>
          <w:rFonts w:ascii="Calibri Light" w:hAnsi="Calibri Light" w:cs="Calibri Light"/>
          <w:b/>
        </w:rPr>
        <w:t>: No changes in the spec are needed for semi-static power sharing in NE-DC.</w:t>
      </w:r>
    </w:p>
    <w:p w:rsidR="00B3029F" w:rsidRPr="00617434" w:rsidRDefault="00B3029F" w:rsidP="00B3029F">
      <w:pPr>
        <w:rPr>
          <w:rFonts w:ascii="Calibri Light" w:hAnsi="Calibri Light" w:cs="Calibri Light"/>
          <w:b/>
        </w:rPr>
      </w:pPr>
      <w:r w:rsidRPr="00617434">
        <w:rPr>
          <w:rFonts w:ascii="Calibri Light" w:hAnsi="Calibri Light" w:cs="Calibri Light"/>
          <w:b/>
        </w:rPr>
        <w:t>Proposal 2: When dynamic power sharing is used in NE-DC,</w:t>
      </w:r>
    </w:p>
    <w:p w:rsidR="00B3029F" w:rsidRPr="00617434" w:rsidRDefault="00B3029F" w:rsidP="00B3029F">
      <w:pPr>
        <w:numPr>
          <w:ilvl w:val="1"/>
          <w:numId w:val="6"/>
        </w:numPr>
        <w:rPr>
          <w:rFonts w:ascii="Calibri Light" w:hAnsi="Calibri Light" w:cs="Calibri Light"/>
          <w:b/>
        </w:rPr>
      </w:pPr>
      <w:r w:rsidRPr="00617434">
        <w:rPr>
          <w:rFonts w:ascii="Calibri Light" w:hAnsi="Calibri Light" w:cs="Calibri Light"/>
          <w:b/>
        </w:rPr>
        <w:t xml:space="preserve"> if total power for NR and LTE in a frequency range, exceeds a given configured max. power, UE reduces LTE transmission power or drops LTE transmission so that total power does not exceed the configured max. power. </w:t>
      </w:r>
    </w:p>
    <w:p w:rsidR="00EA4E70" w:rsidRPr="00B3029F" w:rsidRDefault="00B3029F" w:rsidP="00EA4E70">
      <w:pPr>
        <w:numPr>
          <w:ilvl w:val="1"/>
          <w:numId w:val="6"/>
        </w:numPr>
        <w:rPr>
          <w:rFonts w:ascii="Calibri Light" w:hAnsi="Calibri Light" w:cs="Calibri Light"/>
          <w:b/>
        </w:rPr>
      </w:pPr>
      <w:r w:rsidRPr="00617434">
        <w:rPr>
          <w:rFonts w:ascii="Calibri Light" w:hAnsi="Calibri Light" w:cs="Calibri Light"/>
          <w:b/>
        </w:rPr>
        <w:t xml:space="preserve">LTE </w:t>
      </w:r>
      <w:r>
        <w:rPr>
          <w:rFonts w:ascii="Calibri Light" w:hAnsi="Calibri Light" w:cs="Calibri Light"/>
          <w:b/>
        </w:rPr>
        <w:t xml:space="preserve">power control </w:t>
      </w:r>
      <w:r w:rsidRPr="00617434">
        <w:rPr>
          <w:rFonts w:ascii="Calibri Light" w:hAnsi="Calibri Light" w:cs="Calibri Light"/>
          <w:b/>
        </w:rPr>
        <w:t xml:space="preserve">procedure is modified to include power scaling of the configured max. power on LTE.  </w:t>
      </w:r>
    </w:p>
    <w:p w:rsidR="00B3029F" w:rsidRPr="002500B6" w:rsidRDefault="00B3029F" w:rsidP="00B3029F">
      <w:pPr>
        <w:rPr>
          <w:rFonts w:ascii="Calibri Light" w:hAnsi="Calibri Light" w:cs="Calibri Light"/>
          <w:b/>
        </w:rPr>
      </w:pPr>
      <w:r w:rsidRPr="002500B6">
        <w:rPr>
          <w:rFonts w:ascii="Calibri Light" w:hAnsi="Calibri Light" w:cs="Calibri Light"/>
          <w:b/>
        </w:rPr>
        <w:t xml:space="preserve">Proposal 3: </w:t>
      </w:r>
      <w:r>
        <w:rPr>
          <w:rFonts w:ascii="Calibri Light" w:hAnsi="Calibri Light" w:cs="Calibri Light"/>
          <w:b/>
        </w:rPr>
        <w:t>When the numerology of NR is different from that of LTE power backoff decisions need to be made with a look ahead functionality across multiple slots even for synchronous DC.</w:t>
      </w:r>
    </w:p>
    <w:p w:rsidR="00B3029F" w:rsidRPr="00EA4E70" w:rsidRDefault="00B3029F" w:rsidP="00B3029F">
      <w:pPr>
        <w:rPr>
          <w:rFonts w:ascii="Calibri Light" w:hAnsi="Calibri Light" w:cs="Calibri Light"/>
          <w:b/>
        </w:rPr>
      </w:pPr>
      <w:r w:rsidRPr="00EA4E70">
        <w:rPr>
          <w:rFonts w:ascii="Calibri Light" w:hAnsi="Calibri Light" w:cs="Calibri Light"/>
          <w:b/>
        </w:rPr>
        <w:t>Proposal 4: Change the text in [38.213, clause 7.6.1] to account for multiple slots look ahead for power backoff in EN-DC</w:t>
      </w:r>
    </w:p>
    <w:p w:rsidR="000D7BDB" w:rsidRDefault="000D7BDB" w:rsidP="00172743">
      <w:pPr>
        <w:spacing w:before="0" w:after="0"/>
        <w:rPr>
          <w:rFonts w:ascii="Calibri" w:hAnsi="Calibri"/>
        </w:rPr>
      </w:pPr>
    </w:p>
    <w:p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9A2" w:rsidRDefault="002A29A2" w:rsidP="00424124">
      <w:pPr>
        <w:spacing w:before="0" w:after="0"/>
      </w:pPr>
      <w:r>
        <w:separator/>
      </w:r>
    </w:p>
  </w:endnote>
  <w:endnote w:type="continuationSeparator" w:id="0">
    <w:p w:rsidR="002A29A2" w:rsidRDefault="002A29A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9A2" w:rsidRDefault="002A29A2" w:rsidP="00424124">
      <w:pPr>
        <w:spacing w:before="0" w:after="0"/>
      </w:pPr>
      <w:r>
        <w:separator/>
      </w:r>
    </w:p>
  </w:footnote>
  <w:footnote w:type="continuationSeparator" w:id="0">
    <w:p w:rsidR="002A29A2" w:rsidRDefault="002A29A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4"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2"/>
  </w:num>
  <w:num w:numId="2">
    <w:abstractNumId w:val="0"/>
  </w:num>
  <w:num w:numId="3">
    <w:abstractNumId w:val="5"/>
  </w:num>
  <w:num w:numId="4">
    <w:abstractNumId w:val="3"/>
  </w:num>
  <w:num w:numId="5">
    <w:abstractNumId w:val="1"/>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485D"/>
    <w:rsid w:val="000149EC"/>
    <w:rsid w:val="00020F1A"/>
    <w:rsid w:val="000300A9"/>
    <w:rsid w:val="00032D47"/>
    <w:rsid w:val="000463E4"/>
    <w:rsid w:val="00051B4B"/>
    <w:rsid w:val="00052819"/>
    <w:rsid w:val="000550BC"/>
    <w:rsid w:val="000643FA"/>
    <w:rsid w:val="000730C9"/>
    <w:rsid w:val="0007575F"/>
    <w:rsid w:val="00075FD1"/>
    <w:rsid w:val="00085800"/>
    <w:rsid w:val="000865E3"/>
    <w:rsid w:val="000917C5"/>
    <w:rsid w:val="000A36A9"/>
    <w:rsid w:val="000B0720"/>
    <w:rsid w:val="000B6D99"/>
    <w:rsid w:val="000C57B9"/>
    <w:rsid w:val="000D38DC"/>
    <w:rsid w:val="000D7BDB"/>
    <w:rsid w:val="000E29D8"/>
    <w:rsid w:val="000E58D1"/>
    <w:rsid w:val="0010303E"/>
    <w:rsid w:val="0011327D"/>
    <w:rsid w:val="00116487"/>
    <w:rsid w:val="00116DA6"/>
    <w:rsid w:val="00125A3F"/>
    <w:rsid w:val="00126EFF"/>
    <w:rsid w:val="001417A8"/>
    <w:rsid w:val="00153793"/>
    <w:rsid w:val="00156F28"/>
    <w:rsid w:val="00170339"/>
    <w:rsid w:val="00172743"/>
    <w:rsid w:val="00172A56"/>
    <w:rsid w:val="00177D9C"/>
    <w:rsid w:val="00181E4F"/>
    <w:rsid w:val="00191205"/>
    <w:rsid w:val="001A5A68"/>
    <w:rsid w:val="001A6212"/>
    <w:rsid w:val="001A75E0"/>
    <w:rsid w:val="001B0137"/>
    <w:rsid w:val="001B731B"/>
    <w:rsid w:val="001C699C"/>
    <w:rsid w:val="001E0CE1"/>
    <w:rsid w:val="001E58CC"/>
    <w:rsid w:val="001F59ED"/>
    <w:rsid w:val="002021E5"/>
    <w:rsid w:val="00211D37"/>
    <w:rsid w:val="00212204"/>
    <w:rsid w:val="00216763"/>
    <w:rsid w:val="00222269"/>
    <w:rsid w:val="00233D70"/>
    <w:rsid w:val="00235373"/>
    <w:rsid w:val="00246D61"/>
    <w:rsid w:val="0024786A"/>
    <w:rsid w:val="002500B6"/>
    <w:rsid w:val="0025058B"/>
    <w:rsid w:val="00260758"/>
    <w:rsid w:val="00262116"/>
    <w:rsid w:val="002641FE"/>
    <w:rsid w:val="00267362"/>
    <w:rsid w:val="00270594"/>
    <w:rsid w:val="002725E8"/>
    <w:rsid w:val="00272EC2"/>
    <w:rsid w:val="00273B2A"/>
    <w:rsid w:val="00274677"/>
    <w:rsid w:val="002875F1"/>
    <w:rsid w:val="0029147A"/>
    <w:rsid w:val="00297225"/>
    <w:rsid w:val="002A005E"/>
    <w:rsid w:val="002A0270"/>
    <w:rsid w:val="002A29A2"/>
    <w:rsid w:val="002C0488"/>
    <w:rsid w:val="002C4097"/>
    <w:rsid w:val="002D3D42"/>
    <w:rsid w:val="002D479B"/>
    <w:rsid w:val="002D620C"/>
    <w:rsid w:val="002D6EC9"/>
    <w:rsid w:val="002D787B"/>
    <w:rsid w:val="00315DC4"/>
    <w:rsid w:val="00317020"/>
    <w:rsid w:val="00320B4D"/>
    <w:rsid w:val="00326FF6"/>
    <w:rsid w:val="00327A22"/>
    <w:rsid w:val="00342130"/>
    <w:rsid w:val="00346605"/>
    <w:rsid w:val="0035318F"/>
    <w:rsid w:val="00354C01"/>
    <w:rsid w:val="0036306A"/>
    <w:rsid w:val="003727DB"/>
    <w:rsid w:val="00386642"/>
    <w:rsid w:val="00392170"/>
    <w:rsid w:val="003921D6"/>
    <w:rsid w:val="003965EE"/>
    <w:rsid w:val="003A298A"/>
    <w:rsid w:val="003A553B"/>
    <w:rsid w:val="003A566A"/>
    <w:rsid w:val="003B1EC9"/>
    <w:rsid w:val="003C2392"/>
    <w:rsid w:val="003C2E75"/>
    <w:rsid w:val="003D39C0"/>
    <w:rsid w:val="003E1304"/>
    <w:rsid w:val="003E7121"/>
    <w:rsid w:val="003F0731"/>
    <w:rsid w:val="003F33B4"/>
    <w:rsid w:val="00402381"/>
    <w:rsid w:val="00402D8F"/>
    <w:rsid w:val="00405F6D"/>
    <w:rsid w:val="0041386A"/>
    <w:rsid w:val="00423F7C"/>
    <w:rsid w:val="00424124"/>
    <w:rsid w:val="00431C5B"/>
    <w:rsid w:val="00434212"/>
    <w:rsid w:val="00440F6E"/>
    <w:rsid w:val="00443645"/>
    <w:rsid w:val="00443CD6"/>
    <w:rsid w:val="004552C9"/>
    <w:rsid w:val="004578D6"/>
    <w:rsid w:val="004607AC"/>
    <w:rsid w:val="0046127E"/>
    <w:rsid w:val="004678E1"/>
    <w:rsid w:val="00467ACD"/>
    <w:rsid w:val="00473281"/>
    <w:rsid w:val="00473B68"/>
    <w:rsid w:val="0048301B"/>
    <w:rsid w:val="004A5ABE"/>
    <w:rsid w:val="004A6424"/>
    <w:rsid w:val="004A69D0"/>
    <w:rsid w:val="004A6A82"/>
    <w:rsid w:val="004B5E99"/>
    <w:rsid w:val="004B6AA8"/>
    <w:rsid w:val="004B6E00"/>
    <w:rsid w:val="004C186B"/>
    <w:rsid w:val="004C3F2E"/>
    <w:rsid w:val="004C46A4"/>
    <w:rsid w:val="004C4856"/>
    <w:rsid w:val="004C7784"/>
    <w:rsid w:val="004D7605"/>
    <w:rsid w:val="004D780D"/>
    <w:rsid w:val="004D7CF8"/>
    <w:rsid w:val="004E1FB6"/>
    <w:rsid w:val="004E6BC0"/>
    <w:rsid w:val="004E6D3B"/>
    <w:rsid w:val="005055A6"/>
    <w:rsid w:val="00507060"/>
    <w:rsid w:val="0051179B"/>
    <w:rsid w:val="0051424F"/>
    <w:rsid w:val="00523623"/>
    <w:rsid w:val="00532A30"/>
    <w:rsid w:val="00546AAE"/>
    <w:rsid w:val="0056238B"/>
    <w:rsid w:val="00564BE4"/>
    <w:rsid w:val="00565BDB"/>
    <w:rsid w:val="0057145F"/>
    <w:rsid w:val="005758E7"/>
    <w:rsid w:val="005778C8"/>
    <w:rsid w:val="0058120D"/>
    <w:rsid w:val="005B47BD"/>
    <w:rsid w:val="005B6FA6"/>
    <w:rsid w:val="005C6B53"/>
    <w:rsid w:val="005D2C51"/>
    <w:rsid w:val="005E14EE"/>
    <w:rsid w:val="005F2E5C"/>
    <w:rsid w:val="005F3B4A"/>
    <w:rsid w:val="005F613D"/>
    <w:rsid w:val="005F77CC"/>
    <w:rsid w:val="00603015"/>
    <w:rsid w:val="0060603E"/>
    <w:rsid w:val="00617434"/>
    <w:rsid w:val="006212E8"/>
    <w:rsid w:val="006313B1"/>
    <w:rsid w:val="00634707"/>
    <w:rsid w:val="00644034"/>
    <w:rsid w:val="00651F1A"/>
    <w:rsid w:val="00652AC8"/>
    <w:rsid w:val="006546B2"/>
    <w:rsid w:val="0066157D"/>
    <w:rsid w:val="006756FB"/>
    <w:rsid w:val="00677BD0"/>
    <w:rsid w:val="00685B82"/>
    <w:rsid w:val="00685E11"/>
    <w:rsid w:val="0069705B"/>
    <w:rsid w:val="006A0EDC"/>
    <w:rsid w:val="006A18DB"/>
    <w:rsid w:val="006A2D2E"/>
    <w:rsid w:val="006B5489"/>
    <w:rsid w:val="006C452E"/>
    <w:rsid w:val="006E790B"/>
    <w:rsid w:val="006F055C"/>
    <w:rsid w:val="00700904"/>
    <w:rsid w:val="00704C28"/>
    <w:rsid w:val="00707D20"/>
    <w:rsid w:val="00721AD7"/>
    <w:rsid w:val="007225EF"/>
    <w:rsid w:val="00722BA6"/>
    <w:rsid w:val="00723DC5"/>
    <w:rsid w:val="00727734"/>
    <w:rsid w:val="00727952"/>
    <w:rsid w:val="007338D6"/>
    <w:rsid w:val="00740B36"/>
    <w:rsid w:val="00747A6F"/>
    <w:rsid w:val="0075622F"/>
    <w:rsid w:val="0076067D"/>
    <w:rsid w:val="00762A9D"/>
    <w:rsid w:val="00782CDC"/>
    <w:rsid w:val="007839F9"/>
    <w:rsid w:val="00785B79"/>
    <w:rsid w:val="007A2765"/>
    <w:rsid w:val="007B13E5"/>
    <w:rsid w:val="007B2F6B"/>
    <w:rsid w:val="007B473A"/>
    <w:rsid w:val="007D2C48"/>
    <w:rsid w:val="007D4385"/>
    <w:rsid w:val="007D4688"/>
    <w:rsid w:val="007E546F"/>
    <w:rsid w:val="007F1928"/>
    <w:rsid w:val="007F392E"/>
    <w:rsid w:val="00811A1B"/>
    <w:rsid w:val="00824DED"/>
    <w:rsid w:val="00826E5A"/>
    <w:rsid w:val="00834A3A"/>
    <w:rsid w:val="008437B2"/>
    <w:rsid w:val="00843F1C"/>
    <w:rsid w:val="00850DCE"/>
    <w:rsid w:val="00854FBB"/>
    <w:rsid w:val="008661BA"/>
    <w:rsid w:val="00871CA8"/>
    <w:rsid w:val="00885004"/>
    <w:rsid w:val="00887AB4"/>
    <w:rsid w:val="00894290"/>
    <w:rsid w:val="008A25A1"/>
    <w:rsid w:val="008A6419"/>
    <w:rsid w:val="008B1BFE"/>
    <w:rsid w:val="008B39B6"/>
    <w:rsid w:val="008C1AFD"/>
    <w:rsid w:val="008C4B67"/>
    <w:rsid w:val="008C79DC"/>
    <w:rsid w:val="008D1AEF"/>
    <w:rsid w:val="008E0EC7"/>
    <w:rsid w:val="00905E86"/>
    <w:rsid w:val="00911E64"/>
    <w:rsid w:val="009124E4"/>
    <w:rsid w:val="00925FA2"/>
    <w:rsid w:val="00926A9C"/>
    <w:rsid w:val="00927327"/>
    <w:rsid w:val="00927803"/>
    <w:rsid w:val="00930313"/>
    <w:rsid w:val="00931A92"/>
    <w:rsid w:val="00957CD1"/>
    <w:rsid w:val="00961DB2"/>
    <w:rsid w:val="0097292F"/>
    <w:rsid w:val="00973F70"/>
    <w:rsid w:val="009741D9"/>
    <w:rsid w:val="00982CA4"/>
    <w:rsid w:val="00984235"/>
    <w:rsid w:val="00993D92"/>
    <w:rsid w:val="009A4D63"/>
    <w:rsid w:val="009A54FC"/>
    <w:rsid w:val="009B0815"/>
    <w:rsid w:val="009B08C5"/>
    <w:rsid w:val="009B52C0"/>
    <w:rsid w:val="009C2167"/>
    <w:rsid w:val="009C58E5"/>
    <w:rsid w:val="009D46C1"/>
    <w:rsid w:val="009E0D02"/>
    <w:rsid w:val="009E5838"/>
    <w:rsid w:val="00A11704"/>
    <w:rsid w:val="00A11840"/>
    <w:rsid w:val="00A22C61"/>
    <w:rsid w:val="00A262E4"/>
    <w:rsid w:val="00A26EC3"/>
    <w:rsid w:val="00A41CF3"/>
    <w:rsid w:val="00A45030"/>
    <w:rsid w:val="00A4674D"/>
    <w:rsid w:val="00A4677B"/>
    <w:rsid w:val="00A55FF3"/>
    <w:rsid w:val="00A57B7A"/>
    <w:rsid w:val="00A60155"/>
    <w:rsid w:val="00A603CE"/>
    <w:rsid w:val="00A64CF7"/>
    <w:rsid w:val="00A80745"/>
    <w:rsid w:val="00A821EA"/>
    <w:rsid w:val="00A8721E"/>
    <w:rsid w:val="00A92495"/>
    <w:rsid w:val="00AA5899"/>
    <w:rsid w:val="00AB75A3"/>
    <w:rsid w:val="00AB7FC6"/>
    <w:rsid w:val="00AD115D"/>
    <w:rsid w:val="00AD16AE"/>
    <w:rsid w:val="00AD6C53"/>
    <w:rsid w:val="00AE72F4"/>
    <w:rsid w:val="00AE7FF0"/>
    <w:rsid w:val="00AF0A4B"/>
    <w:rsid w:val="00AF65DE"/>
    <w:rsid w:val="00B04278"/>
    <w:rsid w:val="00B12672"/>
    <w:rsid w:val="00B1674C"/>
    <w:rsid w:val="00B23983"/>
    <w:rsid w:val="00B2434D"/>
    <w:rsid w:val="00B24D29"/>
    <w:rsid w:val="00B3029F"/>
    <w:rsid w:val="00B34716"/>
    <w:rsid w:val="00B3634D"/>
    <w:rsid w:val="00B449B6"/>
    <w:rsid w:val="00B61A13"/>
    <w:rsid w:val="00B648CA"/>
    <w:rsid w:val="00B74894"/>
    <w:rsid w:val="00B82B83"/>
    <w:rsid w:val="00B909F7"/>
    <w:rsid w:val="00B96A24"/>
    <w:rsid w:val="00BA677D"/>
    <w:rsid w:val="00BA6FDB"/>
    <w:rsid w:val="00BB381E"/>
    <w:rsid w:val="00BC31F9"/>
    <w:rsid w:val="00BC6F83"/>
    <w:rsid w:val="00BD34B4"/>
    <w:rsid w:val="00BE2232"/>
    <w:rsid w:val="00BF2C5D"/>
    <w:rsid w:val="00BF31E3"/>
    <w:rsid w:val="00C07731"/>
    <w:rsid w:val="00C218A9"/>
    <w:rsid w:val="00C47EE0"/>
    <w:rsid w:val="00C56ADF"/>
    <w:rsid w:val="00C63006"/>
    <w:rsid w:val="00C67568"/>
    <w:rsid w:val="00C71871"/>
    <w:rsid w:val="00C913B6"/>
    <w:rsid w:val="00CA0788"/>
    <w:rsid w:val="00CA633C"/>
    <w:rsid w:val="00CA6EA3"/>
    <w:rsid w:val="00CB15A7"/>
    <w:rsid w:val="00CB6D97"/>
    <w:rsid w:val="00CE0C9D"/>
    <w:rsid w:val="00D03C16"/>
    <w:rsid w:val="00D23AD9"/>
    <w:rsid w:val="00D23CDC"/>
    <w:rsid w:val="00D268EB"/>
    <w:rsid w:val="00D26CFF"/>
    <w:rsid w:val="00D274C6"/>
    <w:rsid w:val="00D35AFA"/>
    <w:rsid w:val="00D456D8"/>
    <w:rsid w:val="00D45A0E"/>
    <w:rsid w:val="00D4758C"/>
    <w:rsid w:val="00D55FAB"/>
    <w:rsid w:val="00D56786"/>
    <w:rsid w:val="00D61EAB"/>
    <w:rsid w:val="00D623FF"/>
    <w:rsid w:val="00D701D3"/>
    <w:rsid w:val="00D7445F"/>
    <w:rsid w:val="00D92B1D"/>
    <w:rsid w:val="00D96ED8"/>
    <w:rsid w:val="00DA5583"/>
    <w:rsid w:val="00DB6B7E"/>
    <w:rsid w:val="00DC0E31"/>
    <w:rsid w:val="00DC0F74"/>
    <w:rsid w:val="00DC70D0"/>
    <w:rsid w:val="00DC7DD6"/>
    <w:rsid w:val="00DE3107"/>
    <w:rsid w:val="00DE70D9"/>
    <w:rsid w:val="00E13146"/>
    <w:rsid w:val="00E145CC"/>
    <w:rsid w:val="00E174FC"/>
    <w:rsid w:val="00E20070"/>
    <w:rsid w:val="00E20994"/>
    <w:rsid w:val="00E22124"/>
    <w:rsid w:val="00E261AD"/>
    <w:rsid w:val="00E324C0"/>
    <w:rsid w:val="00E40344"/>
    <w:rsid w:val="00E576BD"/>
    <w:rsid w:val="00E57BE9"/>
    <w:rsid w:val="00E604D6"/>
    <w:rsid w:val="00E614AC"/>
    <w:rsid w:val="00E6294C"/>
    <w:rsid w:val="00E67086"/>
    <w:rsid w:val="00E857E4"/>
    <w:rsid w:val="00E85B05"/>
    <w:rsid w:val="00E905B0"/>
    <w:rsid w:val="00E9139D"/>
    <w:rsid w:val="00E92487"/>
    <w:rsid w:val="00E92F66"/>
    <w:rsid w:val="00EA3B02"/>
    <w:rsid w:val="00EA4E70"/>
    <w:rsid w:val="00EA5A59"/>
    <w:rsid w:val="00EB3301"/>
    <w:rsid w:val="00EE4A18"/>
    <w:rsid w:val="00EF61D1"/>
    <w:rsid w:val="00F0143C"/>
    <w:rsid w:val="00F15411"/>
    <w:rsid w:val="00F154D0"/>
    <w:rsid w:val="00F261D6"/>
    <w:rsid w:val="00F31811"/>
    <w:rsid w:val="00F331BC"/>
    <w:rsid w:val="00F35911"/>
    <w:rsid w:val="00F42D43"/>
    <w:rsid w:val="00F5061A"/>
    <w:rsid w:val="00F57965"/>
    <w:rsid w:val="00F72B1B"/>
    <w:rsid w:val="00F77E12"/>
    <w:rsid w:val="00F814DE"/>
    <w:rsid w:val="00F90045"/>
    <w:rsid w:val="00F917E3"/>
    <w:rsid w:val="00F925FE"/>
    <w:rsid w:val="00FA28D1"/>
    <w:rsid w:val="00FA6558"/>
    <w:rsid w:val="00FD489B"/>
    <w:rsid w:val="00FD52CC"/>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4FEA8"/>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8F422-EA16-4DF6-AD04-16933464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SALAM AKOUM</cp:lastModifiedBy>
  <cp:revision>5</cp:revision>
  <cp:lastPrinted>2016-02-23T15:51:00Z</cp:lastPrinted>
  <dcterms:created xsi:type="dcterms:W3CDTF">2018-08-10T21:21:00Z</dcterms:created>
  <dcterms:modified xsi:type="dcterms:W3CDTF">2018-08-10T21:26:00Z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